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ED4373"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3566405" w:history="1">
            <w:r w:rsidR="00ED4373" w:rsidRPr="00971ABF">
              <w:rPr>
                <w:rStyle w:val="Hyperlink"/>
                <w:noProof/>
              </w:rPr>
              <w:t>Introduction</w:t>
            </w:r>
            <w:r w:rsidR="00ED4373">
              <w:rPr>
                <w:noProof/>
                <w:webHidden/>
              </w:rPr>
              <w:tab/>
            </w:r>
            <w:r w:rsidR="00ED4373">
              <w:rPr>
                <w:noProof/>
                <w:webHidden/>
              </w:rPr>
              <w:fldChar w:fldCharType="begin"/>
            </w:r>
            <w:r w:rsidR="00ED4373">
              <w:rPr>
                <w:noProof/>
                <w:webHidden/>
              </w:rPr>
              <w:instrText xml:space="preserve"> PAGEREF _Toc483566405 \h </w:instrText>
            </w:r>
            <w:r w:rsidR="00ED4373">
              <w:rPr>
                <w:noProof/>
                <w:webHidden/>
              </w:rPr>
            </w:r>
            <w:r w:rsidR="00ED4373">
              <w:rPr>
                <w:noProof/>
                <w:webHidden/>
              </w:rPr>
              <w:fldChar w:fldCharType="separate"/>
            </w:r>
            <w:r w:rsidR="00ED4373">
              <w:rPr>
                <w:noProof/>
                <w:webHidden/>
              </w:rPr>
              <w:t>1</w:t>
            </w:r>
            <w:r w:rsidR="00ED4373">
              <w:rPr>
                <w:noProof/>
                <w:webHidden/>
              </w:rPr>
              <w:fldChar w:fldCharType="end"/>
            </w:r>
          </w:hyperlink>
        </w:p>
        <w:p w:rsidR="00ED4373" w:rsidRDefault="00C539DA">
          <w:pPr>
            <w:pStyle w:val="TOC1"/>
            <w:tabs>
              <w:tab w:val="right" w:leader="dot" w:pos="9350"/>
            </w:tabs>
            <w:rPr>
              <w:rFonts w:eastAsiaTheme="minorEastAsia"/>
              <w:noProof/>
            </w:rPr>
          </w:pPr>
          <w:hyperlink w:anchor="_Toc483566406" w:history="1">
            <w:r w:rsidR="00ED4373" w:rsidRPr="00971ABF">
              <w:rPr>
                <w:rStyle w:val="Hyperlink"/>
                <w:noProof/>
              </w:rPr>
              <w:t>1. Revenue Opportunity</w:t>
            </w:r>
            <w:r w:rsidR="00ED4373">
              <w:rPr>
                <w:noProof/>
                <w:webHidden/>
              </w:rPr>
              <w:tab/>
            </w:r>
            <w:r w:rsidR="00ED4373">
              <w:rPr>
                <w:noProof/>
                <w:webHidden/>
              </w:rPr>
              <w:fldChar w:fldCharType="begin"/>
            </w:r>
            <w:r w:rsidR="00ED4373">
              <w:rPr>
                <w:noProof/>
                <w:webHidden/>
              </w:rPr>
              <w:instrText xml:space="preserve"> PAGEREF _Toc483566406 \h </w:instrText>
            </w:r>
            <w:r w:rsidR="00ED4373">
              <w:rPr>
                <w:noProof/>
                <w:webHidden/>
              </w:rPr>
            </w:r>
            <w:r w:rsidR="00ED4373">
              <w:rPr>
                <w:noProof/>
                <w:webHidden/>
              </w:rPr>
              <w:fldChar w:fldCharType="separate"/>
            </w:r>
            <w:r w:rsidR="00ED4373">
              <w:rPr>
                <w:noProof/>
                <w:webHidden/>
              </w:rPr>
              <w:t>1</w:t>
            </w:r>
            <w:r w:rsidR="00ED4373">
              <w:rPr>
                <w:noProof/>
                <w:webHidden/>
              </w:rPr>
              <w:fldChar w:fldCharType="end"/>
            </w:r>
          </w:hyperlink>
        </w:p>
        <w:p w:rsidR="00ED4373" w:rsidRDefault="00C539DA">
          <w:pPr>
            <w:pStyle w:val="TOC2"/>
            <w:tabs>
              <w:tab w:val="right" w:leader="dot" w:pos="9350"/>
            </w:tabs>
            <w:rPr>
              <w:rFonts w:eastAsiaTheme="minorEastAsia"/>
              <w:noProof/>
            </w:rPr>
          </w:pPr>
          <w:hyperlink w:anchor="_Toc483566407" w:history="1">
            <w:r w:rsidR="00ED4373" w:rsidRPr="00971ABF">
              <w:rPr>
                <w:rStyle w:val="Hyperlink"/>
                <w:noProof/>
              </w:rPr>
              <w:t>1.1. Opportunity Overview</w:t>
            </w:r>
            <w:r w:rsidR="00ED4373">
              <w:rPr>
                <w:noProof/>
                <w:webHidden/>
              </w:rPr>
              <w:tab/>
            </w:r>
            <w:r w:rsidR="00ED4373">
              <w:rPr>
                <w:noProof/>
                <w:webHidden/>
              </w:rPr>
              <w:fldChar w:fldCharType="begin"/>
            </w:r>
            <w:r w:rsidR="00ED4373">
              <w:rPr>
                <w:noProof/>
                <w:webHidden/>
              </w:rPr>
              <w:instrText xml:space="preserve"> PAGEREF _Toc483566407 \h </w:instrText>
            </w:r>
            <w:r w:rsidR="00ED4373">
              <w:rPr>
                <w:noProof/>
                <w:webHidden/>
              </w:rPr>
            </w:r>
            <w:r w:rsidR="00ED4373">
              <w:rPr>
                <w:noProof/>
                <w:webHidden/>
              </w:rPr>
              <w:fldChar w:fldCharType="separate"/>
            </w:r>
            <w:r w:rsidR="00ED4373">
              <w:rPr>
                <w:noProof/>
                <w:webHidden/>
              </w:rPr>
              <w:t>1</w:t>
            </w:r>
            <w:r w:rsidR="00ED4373">
              <w:rPr>
                <w:noProof/>
                <w:webHidden/>
              </w:rPr>
              <w:fldChar w:fldCharType="end"/>
            </w:r>
          </w:hyperlink>
        </w:p>
        <w:p w:rsidR="00ED4373" w:rsidRDefault="00C539DA">
          <w:pPr>
            <w:pStyle w:val="TOC2"/>
            <w:tabs>
              <w:tab w:val="right" w:leader="dot" w:pos="9350"/>
            </w:tabs>
            <w:rPr>
              <w:rFonts w:eastAsiaTheme="minorEastAsia"/>
              <w:noProof/>
            </w:rPr>
          </w:pPr>
          <w:hyperlink w:anchor="_Toc483566408" w:history="1">
            <w:r w:rsidR="00ED4373" w:rsidRPr="00971ABF">
              <w:rPr>
                <w:rStyle w:val="Hyperlink"/>
                <w:noProof/>
              </w:rPr>
              <w:t>1.2. Description</w:t>
            </w:r>
            <w:r w:rsidR="00ED4373">
              <w:rPr>
                <w:noProof/>
                <w:webHidden/>
              </w:rPr>
              <w:tab/>
            </w:r>
            <w:r w:rsidR="00ED4373">
              <w:rPr>
                <w:noProof/>
                <w:webHidden/>
              </w:rPr>
              <w:fldChar w:fldCharType="begin"/>
            </w:r>
            <w:r w:rsidR="00ED4373">
              <w:rPr>
                <w:noProof/>
                <w:webHidden/>
              </w:rPr>
              <w:instrText xml:space="preserve"> PAGEREF _Toc483566408 \h </w:instrText>
            </w:r>
            <w:r w:rsidR="00ED4373">
              <w:rPr>
                <w:noProof/>
                <w:webHidden/>
              </w:rPr>
            </w:r>
            <w:r w:rsidR="00ED4373">
              <w:rPr>
                <w:noProof/>
                <w:webHidden/>
              </w:rPr>
              <w:fldChar w:fldCharType="separate"/>
            </w:r>
            <w:r w:rsidR="00ED4373">
              <w:rPr>
                <w:noProof/>
                <w:webHidden/>
              </w:rPr>
              <w:t>2</w:t>
            </w:r>
            <w:r w:rsidR="00ED4373">
              <w:rPr>
                <w:noProof/>
                <w:webHidden/>
              </w:rPr>
              <w:fldChar w:fldCharType="end"/>
            </w:r>
          </w:hyperlink>
        </w:p>
        <w:p w:rsidR="00DC783D" w:rsidRDefault="00DC783D">
          <w:r>
            <w:rPr>
              <w:b/>
              <w:bCs/>
              <w:noProof/>
            </w:rPr>
            <w:fldChar w:fldCharType="end"/>
          </w:r>
        </w:p>
      </w:sdtContent>
    </w:sdt>
    <w:p w:rsidR="00ED4373" w:rsidRDefault="00ED4373" w:rsidP="00AA26BE">
      <w:pPr>
        <w:pStyle w:val="Heading1"/>
      </w:pPr>
      <w:bookmarkStart w:id="0" w:name="_Toc483566405"/>
    </w:p>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Default="00ED4373" w:rsidP="00ED4373"/>
    <w:p w:rsidR="00ED4373" w:rsidRPr="00ED4373" w:rsidRDefault="00ED4373" w:rsidP="00ED4373"/>
    <w:p w:rsidR="007E7288" w:rsidRDefault="00AA26BE" w:rsidP="00AA26BE">
      <w:pPr>
        <w:pStyle w:val="Heading1"/>
      </w:pPr>
      <w:r>
        <w:lastRenderedPageBreak/>
        <w:t>Introduction</w:t>
      </w:r>
      <w:bookmarkEnd w:id="0"/>
    </w:p>
    <w:p w:rsidR="00AA26BE" w:rsidRDefault="00AA26BE" w:rsidP="00680D1F">
      <w:pPr>
        <w:jc w:val="both"/>
      </w:pPr>
      <w:r>
        <w:t xml:space="preserve">This </w:t>
      </w:r>
      <w:r w:rsidR="00174BBF">
        <w:t xml:space="preserve">report gives an overview of the state of property tax collection and property tracking </w:t>
      </w:r>
      <w:r w:rsidR="00F92AB6">
        <w:t xml:space="preserve">for 8 </w:t>
      </w:r>
      <w:proofErr w:type="spellStart"/>
      <w:r w:rsidR="00F92AB6">
        <w:t>wards</w:t>
      </w:r>
      <w:proofErr w:type="spellEnd"/>
      <w:r w:rsidR="00F92AB6">
        <w:t xml:space="preserve"> </w:t>
      </w:r>
      <w:r w:rsidR="00174BBF">
        <w:t>in the city of Bangalore. The report is split up into three broad sections</w:t>
      </w:r>
    </w:p>
    <w:p w:rsidR="00AA26BE" w:rsidRDefault="00174BBF" w:rsidP="00680D1F">
      <w:pPr>
        <w:pStyle w:val="ListParagraph"/>
        <w:numPr>
          <w:ilvl w:val="0"/>
          <w:numId w:val="1"/>
        </w:numPr>
        <w:jc w:val="both"/>
      </w:pPr>
      <w:r>
        <w:t xml:space="preserve">Revenue </w:t>
      </w:r>
      <w:r w:rsidR="005F49E7">
        <w:t>Potential</w:t>
      </w:r>
    </w:p>
    <w:p w:rsidR="00AA26BE" w:rsidRDefault="00174BBF" w:rsidP="00680D1F">
      <w:pPr>
        <w:pStyle w:val="ListParagraph"/>
        <w:numPr>
          <w:ilvl w:val="0"/>
          <w:numId w:val="1"/>
        </w:numPr>
        <w:jc w:val="both"/>
      </w:pPr>
      <w:r>
        <w:t>Anomalous Properties</w:t>
      </w:r>
      <w:r w:rsidR="005F49E7">
        <w:t>/Streets</w:t>
      </w:r>
    </w:p>
    <w:p w:rsidR="00AA26BE" w:rsidRDefault="00174BBF" w:rsidP="00680D1F">
      <w:pPr>
        <w:pStyle w:val="ListParagraph"/>
        <w:numPr>
          <w:ilvl w:val="0"/>
          <w:numId w:val="1"/>
        </w:numPr>
        <w:jc w:val="both"/>
      </w:pPr>
      <w:r>
        <w:t>Data Anomalies</w:t>
      </w:r>
    </w:p>
    <w:p w:rsidR="00174BBF" w:rsidRDefault="00174BBF" w:rsidP="00680D1F">
      <w:pPr>
        <w:jc w:val="both"/>
      </w:pPr>
      <w:r>
        <w:t xml:space="preserve">The Revenue Opportunity </w:t>
      </w:r>
      <w:r w:rsidR="00C70320">
        <w:t xml:space="preserve">section details the additional revenue to be collected from 8 wards in Bangalore City. </w:t>
      </w:r>
    </w:p>
    <w:p w:rsidR="00C70320" w:rsidRDefault="00C70320" w:rsidP="00680D1F">
      <w:pPr>
        <w:jc w:val="both"/>
      </w:pPr>
      <w:r>
        <w:t>The Anomalous Properties section details some of the anomalies observed in the properties provided, flagging these properties for a deeper dive to understand the reason for the anomalies.</w:t>
      </w:r>
    </w:p>
    <w:p w:rsidR="00C70320" w:rsidRDefault="00C70320" w:rsidP="00680D1F">
      <w:pPr>
        <w:jc w:val="both"/>
      </w:pPr>
      <w:r>
        <w:t>The Data Anomalies section details som</w:t>
      </w:r>
      <w:r w:rsidR="00D52548">
        <w:t>e</w:t>
      </w:r>
      <w:r>
        <w:t xml:space="preserve"> of the discrepancies observed in the database/data provided </w:t>
      </w:r>
      <w:proofErr w:type="gramStart"/>
      <w:r>
        <w:t>itself</w:t>
      </w:r>
      <w:proofErr w:type="gramEnd"/>
      <w:r>
        <w:t xml:space="preserve">. </w:t>
      </w:r>
    </w:p>
    <w:p w:rsidR="00AA26BE" w:rsidRDefault="00C70320" w:rsidP="00680D1F">
      <w:pPr>
        <w:pStyle w:val="Heading1"/>
        <w:numPr>
          <w:ilvl w:val="0"/>
          <w:numId w:val="4"/>
        </w:numPr>
        <w:jc w:val="both"/>
      </w:pPr>
      <w:bookmarkStart w:id="1" w:name="_Toc483566406"/>
      <w:r>
        <w:t xml:space="preserve">Revenue </w:t>
      </w:r>
      <w:r w:rsidRPr="00C70320">
        <w:t>Opportunity</w:t>
      </w:r>
      <w:bookmarkEnd w:id="1"/>
    </w:p>
    <w:p w:rsidR="005F49E7" w:rsidRDefault="005F49E7" w:rsidP="00680D1F">
      <w:pPr>
        <w:jc w:val="both"/>
      </w:pPr>
      <w:r>
        <w:t>This section captures the additional revenue that can be collected from the 8 wards. Additional revenue is further broken down into:</w:t>
      </w:r>
    </w:p>
    <w:p w:rsidR="005F49E7" w:rsidRDefault="005F49E7" w:rsidP="00680D1F">
      <w:pPr>
        <w:pStyle w:val="ListParagraph"/>
        <w:numPr>
          <w:ilvl w:val="0"/>
          <w:numId w:val="5"/>
        </w:numPr>
        <w:jc w:val="both"/>
      </w:pPr>
      <w:r>
        <w:t>Revenue from tax dues which have not been collected</w:t>
      </w:r>
    </w:p>
    <w:p w:rsidR="005F49E7" w:rsidRDefault="005F49E7" w:rsidP="00680D1F">
      <w:pPr>
        <w:pStyle w:val="ListParagraph"/>
        <w:numPr>
          <w:ilvl w:val="0"/>
          <w:numId w:val="5"/>
        </w:numPr>
        <w:jc w:val="both"/>
      </w:pPr>
      <w:r>
        <w:t>Additional revenue which can be collected from properties which might have underreported their taxes</w:t>
      </w:r>
    </w:p>
    <w:p w:rsidR="00C539DA" w:rsidRPr="005F49E7" w:rsidRDefault="00C539DA" w:rsidP="00C539DA">
      <w:pPr>
        <w:jc w:val="both"/>
      </w:pPr>
      <w:r>
        <w:t>Refer Appendix Section 1 for the detailed report for this section.</w:t>
      </w:r>
    </w:p>
    <w:p w:rsidR="00AA26BE" w:rsidRDefault="00C70320" w:rsidP="00D0749D">
      <w:pPr>
        <w:pStyle w:val="Heading2"/>
        <w:numPr>
          <w:ilvl w:val="1"/>
          <w:numId w:val="4"/>
        </w:numPr>
        <w:jc w:val="both"/>
      </w:pPr>
      <w:bookmarkStart w:id="2" w:name="_Toc483566407"/>
      <w:r>
        <w:t>Opportunity Overview</w:t>
      </w:r>
      <w:bookmarkEnd w:id="2"/>
    </w:p>
    <w:p w:rsidR="00D0749D" w:rsidRPr="00D0749D" w:rsidRDefault="00D0749D" w:rsidP="00D0749D">
      <w:pPr>
        <w:pStyle w:val="ListParagraph"/>
        <w:ind w:left="480"/>
      </w:pPr>
    </w:p>
    <w:tbl>
      <w:tblPr>
        <w:tblStyle w:val="TableGrid"/>
        <w:tblW w:w="9990" w:type="dxa"/>
        <w:tblInd w:w="-252" w:type="dxa"/>
        <w:tblLayout w:type="fixed"/>
        <w:tblLook w:val="04A0" w:firstRow="1" w:lastRow="0" w:firstColumn="1" w:lastColumn="0" w:noHBand="0" w:noVBand="1"/>
      </w:tblPr>
      <w:tblGrid>
        <w:gridCol w:w="1710"/>
        <w:gridCol w:w="1440"/>
        <w:gridCol w:w="1350"/>
        <w:gridCol w:w="1359"/>
        <w:gridCol w:w="1431"/>
        <w:gridCol w:w="1350"/>
        <w:gridCol w:w="1350"/>
      </w:tblGrid>
      <w:tr w:rsidR="002F7CEB" w:rsidTr="002B07FF">
        <w:tc>
          <w:tcPr>
            <w:tcW w:w="1710" w:type="dxa"/>
            <w:vMerge w:val="restart"/>
            <w:shd w:val="clear" w:color="auto" w:fill="D6E3BC" w:themeFill="accent3" w:themeFillTint="66"/>
            <w:vAlign w:val="center"/>
          </w:tcPr>
          <w:p w:rsidR="00C70320" w:rsidRPr="00C70320" w:rsidRDefault="00C70320" w:rsidP="00C70320">
            <w:pPr>
              <w:jc w:val="center"/>
              <w:rPr>
                <w:b/>
              </w:rPr>
            </w:pPr>
            <w:r w:rsidRPr="00C70320">
              <w:rPr>
                <w:b/>
              </w:rPr>
              <w:t>Ward</w:t>
            </w:r>
          </w:p>
        </w:tc>
        <w:tc>
          <w:tcPr>
            <w:tcW w:w="4149" w:type="dxa"/>
            <w:gridSpan w:val="3"/>
            <w:shd w:val="clear" w:color="auto" w:fill="D6E3BC" w:themeFill="accent3" w:themeFillTint="66"/>
            <w:vAlign w:val="center"/>
          </w:tcPr>
          <w:p w:rsidR="00C70320" w:rsidRPr="00C70320" w:rsidRDefault="00C70320" w:rsidP="00C70320">
            <w:pPr>
              <w:jc w:val="center"/>
              <w:rPr>
                <w:b/>
              </w:rPr>
            </w:pPr>
            <w:r w:rsidRPr="00C70320">
              <w:rPr>
                <w:b/>
              </w:rPr>
              <w:t>Tax Defaulted</w:t>
            </w:r>
          </w:p>
        </w:tc>
        <w:tc>
          <w:tcPr>
            <w:tcW w:w="4131" w:type="dxa"/>
            <w:gridSpan w:val="3"/>
            <w:shd w:val="clear" w:color="auto" w:fill="D6E3BC" w:themeFill="accent3" w:themeFillTint="66"/>
            <w:vAlign w:val="center"/>
          </w:tcPr>
          <w:p w:rsidR="00C70320" w:rsidRPr="00C70320" w:rsidRDefault="00C70320" w:rsidP="00C70320">
            <w:pPr>
              <w:jc w:val="center"/>
              <w:rPr>
                <w:b/>
              </w:rPr>
            </w:pPr>
            <w:r w:rsidRPr="00C70320">
              <w:rPr>
                <w:b/>
              </w:rPr>
              <w:t>Additional Opportunity</w:t>
            </w:r>
          </w:p>
        </w:tc>
      </w:tr>
      <w:tr w:rsidR="002B07FF" w:rsidTr="00AD5CE6">
        <w:tc>
          <w:tcPr>
            <w:tcW w:w="1710" w:type="dxa"/>
            <w:vMerge/>
            <w:shd w:val="clear" w:color="auto" w:fill="D6E3BC" w:themeFill="accent3" w:themeFillTint="66"/>
            <w:vAlign w:val="center"/>
          </w:tcPr>
          <w:p w:rsidR="00C70320" w:rsidRPr="00C70320" w:rsidRDefault="00C70320" w:rsidP="00C70320">
            <w:pPr>
              <w:jc w:val="center"/>
              <w:rPr>
                <w:b/>
              </w:rPr>
            </w:pPr>
          </w:p>
        </w:tc>
        <w:tc>
          <w:tcPr>
            <w:tcW w:w="1440" w:type="dxa"/>
            <w:shd w:val="clear" w:color="auto" w:fill="D6E3BC" w:themeFill="accent3" w:themeFillTint="66"/>
            <w:vAlign w:val="center"/>
          </w:tcPr>
          <w:p w:rsidR="00C70320" w:rsidRPr="00C70320" w:rsidRDefault="00C70320" w:rsidP="00C70320">
            <w:pPr>
              <w:jc w:val="center"/>
              <w:rPr>
                <w:b/>
              </w:rPr>
            </w:pPr>
            <w:r w:rsidRPr="00C70320">
              <w:rPr>
                <w:b/>
              </w:rPr>
              <w:t>Total</w:t>
            </w:r>
          </w:p>
        </w:tc>
        <w:tc>
          <w:tcPr>
            <w:tcW w:w="1350" w:type="dxa"/>
            <w:shd w:val="clear" w:color="auto" w:fill="D6E3BC" w:themeFill="accent3" w:themeFillTint="66"/>
            <w:vAlign w:val="center"/>
          </w:tcPr>
          <w:p w:rsidR="00C70320" w:rsidRPr="00C70320" w:rsidRDefault="00C70320" w:rsidP="00C70320">
            <w:pPr>
              <w:jc w:val="center"/>
              <w:rPr>
                <w:b/>
              </w:rPr>
            </w:pPr>
            <w:r w:rsidRPr="00C70320">
              <w:rPr>
                <w:b/>
              </w:rPr>
              <w:t>Top 100</w:t>
            </w:r>
          </w:p>
        </w:tc>
        <w:tc>
          <w:tcPr>
            <w:tcW w:w="1359" w:type="dxa"/>
            <w:shd w:val="clear" w:color="auto" w:fill="D6E3BC" w:themeFill="accent3" w:themeFillTint="66"/>
            <w:vAlign w:val="center"/>
          </w:tcPr>
          <w:p w:rsidR="00C70320" w:rsidRPr="00C70320" w:rsidRDefault="00C70320" w:rsidP="00C70320">
            <w:pPr>
              <w:jc w:val="center"/>
              <w:rPr>
                <w:b/>
              </w:rPr>
            </w:pPr>
            <w:r w:rsidRPr="00C70320">
              <w:rPr>
                <w:b/>
              </w:rPr>
              <w:t>Top 10</w:t>
            </w:r>
          </w:p>
        </w:tc>
        <w:tc>
          <w:tcPr>
            <w:tcW w:w="1431" w:type="dxa"/>
            <w:shd w:val="clear" w:color="auto" w:fill="D6E3BC" w:themeFill="accent3" w:themeFillTint="66"/>
            <w:vAlign w:val="center"/>
          </w:tcPr>
          <w:p w:rsidR="00C70320" w:rsidRPr="00C70320" w:rsidRDefault="00C70320" w:rsidP="00C70320">
            <w:pPr>
              <w:jc w:val="center"/>
              <w:rPr>
                <w:b/>
              </w:rPr>
            </w:pPr>
            <w:r w:rsidRPr="00C70320">
              <w:rPr>
                <w:b/>
              </w:rPr>
              <w:t>Total</w:t>
            </w:r>
          </w:p>
        </w:tc>
        <w:tc>
          <w:tcPr>
            <w:tcW w:w="1350" w:type="dxa"/>
            <w:shd w:val="clear" w:color="auto" w:fill="D6E3BC" w:themeFill="accent3" w:themeFillTint="66"/>
            <w:vAlign w:val="center"/>
          </w:tcPr>
          <w:p w:rsidR="00C70320" w:rsidRPr="00C70320" w:rsidRDefault="00C70320" w:rsidP="00C70320">
            <w:pPr>
              <w:jc w:val="center"/>
              <w:rPr>
                <w:b/>
              </w:rPr>
            </w:pPr>
            <w:r w:rsidRPr="00C70320">
              <w:rPr>
                <w:b/>
              </w:rPr>
              <w:t>Top 100</w:t>
            </w:r>
          </w:p>
        </w:tc>
        <w:tc>
          <w:tcPr>
            <w:tcW w:w="1350" w:type="dxa"/>
            <w:shd w:val="clear" w:color="auto" w:fill="D6E3BC" w:themeFill="accent3" w:themeFillTint="66"/>
            <w:vAlign w:val="center"/>
          </w:tcPr>
          <w:p w:rsidR="00C70320" w:rsidRPr="00C70320" w:rsidRDefault="00C70320" w:rsidP="00C70320">
            <w:pPr>
              <w:jc w:val="center"/>
              <w:rPr>
                <w:b/>
              </w:rPr>
            </w:pPr>
            <w:r w:rsidRPr="00C70320">
              <w:rPr>
                <w:b/>
              </w:rPr>
              <w:t>Top 10</w:t>
            </w:r>
          </w:p>
        </w:tc>
      </w:tr>
      <w:tr w:rsidR="002B07FF" w:rsidTr="00AD5CE6">
        <w:tc>
          <w:tcPr>
            <w:tcW w:w="1710" w:type="dxa"/>
            <w:vAlign w:val="center"/>
          </w:tcPr>
          <w:p w:rsidR="00B0675A" w:rsidRDefault="00935C9E" w:rsidP="00C70320">
            <w:pPr>
              <w:jc w:val="center"/>
            </w:pPr>
            <w:proofErr w:type="spellStart"/>
            <w:r>
              <w:t>Arekere</w:t>
            </w:r>
            <w:proofErr w:type="spellEnd"/>
            <w:r>
              <w:t xml:space="preserve"> </w:t>
            </w:r>
          </w:p>
          <w:p w:rsidR="00C70320" w:rsidRDefault="00935C9E" w:rsidP="00C70320">
            <w:pPr>
              <w:jc w:val="center"/>
            </w:pPr>
            <w:r>
              <w:t>(193)</w:t>
            </w:r>
          </w:p>
        </w:tc>
        <w:tc>
          <w:tcPr>
            <w:tcW w:w="1440" w:type="dxa"/>
            <w:vAlign w:val="center"/>
          </w:tcPr>
          <w:p w:rsidR="00C70320" w:rsidRPr="00C1604D" w:rsidRDefault="002B07FF" w:rsidP="00C1604D">
            <w:pPr>
              <w:jc w:val="center"/>
              <w:rPr>
                <w:rFonts w:ascii="Calibri" w:hAnsi="Calibri" w:cs="Calibri"/>
                <w:color w:val="000000"/>
              </w:rPr>
            </w:pPr>
            <w:r>
              <w:rPr>
                <w:rFonts w:ascii="Calibri" w:hAnsi="Calibri" w:cs="Calibri"/>
                <w:color w:val="000000"/>
              </w:rPr>
              <w:t>7,3</w:t>
            </w:r>
            <w:r w:rsidR="00C1604D">
              <w:rPr>
                <w:rFonts w:ascii="Calibri" w:hAnsi="Calibri" w:cs="Calibri"/>
                <w:color w:val="000000"/>
              </w:rPr>
              <w:t>0</w:t>
            </w:r>
            <w:r>
              <w:rPr>
                <w:rFonts w:ascii="Calibri" w:hAnsi="Calibri" w:cs="Calibri"/>
                <w:color w:val="000000"/>
              </w:rPr>
              <w:t>,</w:t>
            </w:r>
            <w:r w:rsidR="00C1604D">
              <w:rPr>
                <w:rFonts w:ascii="Calibri" w:hAnsi="Calibri" w:cs="Calibri"/>
                <w:color w:val="000000"/>
              </w:rPr>
              <w:t>07,048</w:t>
            </w:r>
          </w:p>
        </w:tc>
        <w:tc>
          <w:tcPr>
            <w:tcW w:w="1350" w:type="dxa"/>
            <w:vAlign w:val="center"/>
          </w:tcPr>
          <w:p w:rsidR="00C70320" w:rsidRPr="00D603CD" w:rsidRDefault="00D603CD" w:rsidP="00D603CD">
            <w:pPr>
              <w:jc w:val="center"/>
              <w:rPr>
                <w:rFonts w:ascii="Calibri" w:hAnsi="Calibri" w:cs="Calibri"/>
                <w:color w:val="000000"/>
              </w:rPr>
            </w:pPr>
            <w:r>
              <w:rPr>
                <w:rFonts w:ascii="Calibri" w:hAnsi="Calibri" w:cs="Calibri"/>
                <w:color w:val="000000"/>
              </w:rPr>
              <w:t>4,74,44,617</w:t>
            </w:r>
          </w:p>
        </w:tc>
        <w:tc>
          <w:tcPr>
            <w:tcW w:w="1359" w:type="dxa"/>
            <w:vAlign w:val="center"/>
          </w:tcPr>
          <w:p w:rsidR="00C70320" w:rsidRDefault="0096191D" w:rsidP="0096191D">
            <w:pPr>
              <w:jc w:val="center"/>
            </w:pPr>
            <w:r>
              <w:rPr>
                <w:rFonts w:ascii="Calibri" w:hAnsi="Calibri" w:cs="Calibri"/>
                <w:color w:val="000000"/>
              </w:rPr>
              <w:t>3,92,60,144</w:t>
            </w:r>
          </w:p>
        </w:tc>
        <w:tc>
          <w:tcPr>
            <w:tcW w:w="1431" w:type="dxa"/>
            <w:vAlign w:val="center"/>
          </w:tcPr>
          <w:p w:rsidR="00C70320" w:rsidRDefault="00935C9E" w:rsidP="00C70320">
            <w:pPr>
              <w:jc w:val="center"/>
            </w:pPr>
            <w:r>
              <w:rPr>
                <w:rFonts w:ascii="Arial" w:hAnsi="Arial" w:cs="Arial"/>
                <w:color w:val="000000"/>
                <w:sz w:val="20"/>
                <w:szCs w:val="20"/>
                <w:shd w:val="clear" w:color="auto" w:fill="FFFFFF"/>
              </w:rPr>
              <w:t>5,80,02,037</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2,81,98,562</w:t>
            </w:r>
          </w:p>
        </w:tc>
        <w:tc>
          <w:tcPr>
            <w:tcW w:w="1350" w:type="dxa"/>
            <w:vAlign w:val="center"/>
          </w:tcPr>
          <w:p w:rsidR="00C70320" w:rsidRPr="002F7CEB" w:rsidRDefault="00EC4876" w:rsidP="002B07FF">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2,04,95,476</w:t>
            </w:r>
          </w:p>
        </w:tc>
      </w:tr>
      <w:tr w:rsidR="002B07FF" w:rsidTr="00AD5CE6">
        <w:tc>
          <w:tcPr>
            <w:tcW w:w="1710" w:type="dxa"/>
            <w:vAlign w:val="center"/>
          </w:tcPr>
          <w:p w:rsidR="00C70320" w:rsidRDefault="00935C9E" w:rsidP="00C70320">
            <w:pPr>
              <w:jc w:val="center"/>
            </w:pPr>
            <w:r>
              <w:t>Basaveshwar Nagar (100)</w:t>
            </w:r>
          </w:p>
        </w:tc>
        <w:tc>
          <w:tcPr>
            <w:tcW w:w="1440" w:type="dxa"/>
            <w:vAlign w:val="center"/>
          </w:tcPr>
          <w:p w:rsidR="00C70320" w:rsidRDefault="002B07FF" w:rsidP="002B07FF">
            <w:pPr>
              <w:jc w:val="center"/>
            </w:pPr>
            <w:r>
              <w:rPr>
                <w:rFonts w:ascii="Calibri" w:hAnsi="Calibri" w:cs="Calibri"/>
                <w:color w:val="000000"/>
              </w:rPr>
              <w:t>60,15,786</w:t>
            </w:r>
          </w:p>
        </w:tc>
        <w:tc>
          <w:tcPr>
            <w:tcW w:w="1350" w:type="dxa"/>
            <w:vAlign w:val="center"/>
          </w:tcPr>
          <w:p w:rsidR="00C70320" w:rsidRDefault="00D603CD" w:rsidP="00D603CD">
            <w:pPr>
              <w:jc w:val="center"/>
            </w:pPr>
            <w:r>
              <w:rPr>
                <w:rFonts w:ascii="Calibri" w:hAnsi="Calibri" w:cs="Calibri"/>
                <w:color w:val="000000"/>
              </w:rPr>
              <w:t>41,18,608</w:t>
            </w:r>
          </w:p>
        </w:tc>
        <w:tc>
          <w:tcPr>
            <w:tcW w:w="1359" w:type="dxa"/>
            <w:vAlign w:val="center"/>
          </w:tcPr>
          <w:p w:rsidR="00C70320" w:rsidRDefault="0096191D" w:rsidP="0096191D">
            <w:pPr>
              <w:jc w:val="center"/>
            </w:pPr>
            <w:r>
              <w:rPr>
                <w:rFonts w:ascii="Calibri" w:hAnsi="Calibri" w:cs="Calibri"/>
                <w:color w:val="000000"/>
              </w:rPr>
              <w:t>17,80,879</w:t>
            </w:r>
          </w:p>
        </w:tc>
        <w:tc>
          <w:tcPr>
            <w:tcW w:w="1431" w:type="dxa"/>
            <w:vAlign w:val="center"/>
          </w:tcPr>
          <w:p w:rsidR="00C70320" w:rsidRDefault="00935C9E" w:rsidP="00C70320">
            <w:pPr>
              <w:jc w:val="center"/>
            </w:pPr>
            <w:r>
              <w:rPr>
                <w:rFonts w:ascii="Arial" w:hAnsi="Arial" w:cs="Arial"/>
                <w:color w:val="000000"/>
                <w:sz w:val="20"/>
                <w:szCs w:val="20"/>
                <w:shd w:val="clear" w:color="auto" w:fill="FFFFFF"/>
              </w:rPr>
              <w:t>1,13,74,664</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64,12,827</w:t>
            </w:r>
          </w:p>
        </w:tc>
        <w:tc>
          <w:tcPr>
            <w:tcW w:w="1350" w:type="dxa"/>
            <w:vAlign w:val="center"/>
          </w:tcPr>
          <w:p w:rsidR="00C70320" w:rsidRPr="002F7CEB" w:rsidRDefault="00267676" w:rsidP="00267676">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36,47,751</w:t>
            </w:r>
          </w:p>
        </w:tc>
      </w:tr>
      <w:tr w:rsidR="002B07FF" w:rsidTr="00AD5CE6">
        <w:tc>
          <w:tcPr>
            <w:tcW w:w="1710" w:type="dxa"/>
            <w:vAlign w:val="center"/>
          </w:tcPr>
          <w:p w:rsidR="00B0675A" w:rsidRDefault="00935C9E" w:rsidP="00C70320">
            <w:pPr>
              <w:jc w:val="center"/>
            </w:pPr>
            <w:r>
              <w:t xml:space="preserve">BTM Layout </w:t>
            </w:r>
          </w:p>
          <w:p w:rsidR="00C70320" w:rsidRDefault="00935C9E" w:rsidP="00C70320">
            <w:pPr>
              <w:jc w:val="center"/>
            </w:pPr>
            <w:r>
              <w:t>(176)</w:t>
            </w:r>
          </w:p>
        </w:tc>
        <w:tc>
          <w:tcPr>
            <w:tcW w:w="1440" w:type="dxa"/>
            <w:vAlign w:val="center"/>
          </w:tcPr>
          <w:p w:rsidR="00C70320" w:rsidRDefault="002B07FF" w:rsidP="002B07FF">
            <w:pPr>
              <w:jc w:val="center"/>
            </w:pPr>
            <w:r>
              <w:rPr>
                <w:rFonts w:ascii="Calibri" w:hAnsi="Calibri" w:cs="Calibri"/>
                <w:color w:val="000000"/>
              </w:rPr>
              <w:t>2,45,30,596</w:t>
            </w:r>
          </w:p>
        </w:tc>
        <w:tc>
          <w:tcPr>
            <w:tcW w:w="1350" w:type="dxa"/>
            <w:vAlign w:val="center"/>
          </w:tcPr>
          <w:p w:rsidR="00C70320" w:rsidRDefault="00D603CD" w:rsidP="00D603CD">
            <w:pPr>
              <w:jc w:val="center"/>
            </w:pPr>
            <w:r>
              <w:rPr>
                <w:rFonts w:ascii="Calibri" w:hAnsi="Calibri" w:cs="Calibri"/>
                <w:color w:val="000000"/>
              </w:rPr>
              <w:t xml:space="preserve">1,22,94,911 </w:t>
            </w:r>
          </w:p>
        </w:tc>
        <w:tc>
          <w:tcPr>
            <w:tcW w:w="1359" w:type="dxa"/>
            <w:vAlign w:val="center"/>
          </w:tcPr>
          <w:p w:rsidR="00C70320" w:rsidRDefault="0096191D" w:rsidP="0096191D">
            <w:pPr>
              <w:jc w:val="center"/>
            </w:pPr>
            <w:r>
              <w:rPr>
                <w:rFonts w:ascii="Calibri" w:hAnsi="Calibri" w:cs="Calibri"/>
                <w:color w:val="000000"/>
              </w:rPr>
              <w:t>45,50,070</w:t>
            </w:r>
          </w:p>
        </w:tc>
        <w:tc>
          <w:tcPr>
            <w:tcW w:w="1431" w:type="dxa"/>
            <w:vAlign w:val="center"/>
          </w:tcPr>
          <w:p w:rsidR="00C70320" w:rsidRDefault="00935C9E" w:rsidP="00C70320">
            <w:pPr>
              <w:jc w:val="center"/>
            </w:pPr>
            <w:r>
              <w:rPr>
                <w:rFonts w:ascii="Arial" w:hAnsi="Arial" w:cs="Arial"/>
                <w:color w:val="000000"/>
                <w:sz w:val="20"/>
                <w:szCs w:val="20"/>
                <w:shd w:val="clear" w:color="auto" w:fill="FFFFFF"/>
              </w:rPr>
              <w:t>3,00,54,087</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1,29,02,203</w:t>
            </w:r>
          </w:p>
        </w:tc>
        <w:tc>
          <w:tcPr>
            <w:tcW w:w="1350" w:type="dxa"/>
            <w:vAlign w:val="center"/>
          </w:tcPr>
          <w:p w:rsidR="00C70320" w:rsidRPr="002F7CEB" w:rsidRDefault="00EC4876" w:rsidP="00EC4876">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 xml:space="preserve">52,41,331 </w:t>
            </w:r>
          </w:p>
        </w:tc>
      </w:tr>
      <w:tr w:rsidR="002B07FF" w:rsidTr="00AD5CE6">
        <w:tc>
          <w:tcPr>
            <w:tcW w:w="1710" w:type="dxa"/>
            <w:vAlign w:val="center"/>
          </w:tcPr>
          <w:p w:rsidR="00B0675A" w:rsidRDefault="00935C9E" w:rsidP="00C70320">
            <w:pPr>
              <w:jc w:val="center"/>
            </w:pPr>
            <w:r>
              <w:t xml:space="preserve">Kadugodi </w:t>
            </w:r>
          </w:p>
          <w:p w:rsidR="00C70320" w:rsidRDefault="00935C9E" w:rsidP="00C70320">
            <w:pPr>
              <w:jc w:val="center"/>
            </w:pPr>
            <w:r>
              <w:t>(083)</w:t>
            </w:r>
          </w:p>
        </w:tc>
        <w:tc>
          <w:tcPr>
            <w:tcW w:w="1440" w:type="dxa"/>
            <w:vAlign w:val="center"/>
          </w:tcPr>
          <w:p w:rsidR="00C70320" w:rsidRDefault="002B07FF" w:rsidP="002B07FF">
            <w:pPr>
              <w:jc w:val="center"/>
            </w:pPr>
            <w:r>
              <w:rPr>
                <w:rFonts w:ascii="Calibri" w:hAnsi="Calibri" w:cs="Calibri"/>
                <w:color w:val="000000"/>
              </w:rPr>
              <w:t>3,48,98,255</w:t>
            </w:r>
          </w:p>
        </w:tc>
        <w:tc>
          <w:tcPr>
            <w:tcW w:w="1350" w:type="dxa"/>
            <w:vAlign w:val="center"/>
          </w:tcPr>
          <w:p w:rsidR="00C70320" w:rsidRDefault="00D603CD" w:rsidP="00D603CD">
            <w:pPr>
              <w:jc w:val="center"/>
            </w:pPr>
            <w:r>
              <w:rPr>
                <w:rFonts w:ascii="Calibri" w:hAnsi="Calibri" w:cs="Calibri"/>
                <w:color w:val="000000"/>
              </w:rPr>
              <w:t>1,08,02,264</w:t>
            </w:r>
          </w:p>
        </w:tc>
        <w:tc>
          <w:tcPr>
            <w:tcW w:w="1359" w:type="dxa"/>
            <w:vAlign w:val="center"/>
          </w:tcPr>
          <w:p w:rsidR="00C70320" w:rsidRDefault="0096191D" w:rsidP="0096191D">
            <w:pPr>
              <w:jc w:val="center"/>
            </w:pPr>
            <w:r>
              <w:rPr>
                <w:rFonts w:ascii="Calibri" w:hAnsi="Calibri" w:cs="Calibri"/>
                <w:color w:val="000000"/>
              </w:rPr>
              <w:t>40,41,585</w:t>
            </w:r>
          </w:p>
        </w:tc>
        <w:tc>
          <w:tcPr>
            <w:tcW w:w="1431" w:type="dxa"/>
            <w:vAlign w:val="center"/>
          </w:tcPr>
          <w:p w:rsidR="00C70320" w:rsidRDefault="00935C9E" w:rsidP="00C70320">
            <w:pPr>
              <w:jc w:val="center"/>
            </w:pPr>
            <w:r>
              <w:rPr>
                <w:rFonts w:ascii="Arial" w:hAnsi="Arial" w:cs="Arial"/>
                <w:color w:val="000000"/>
                <w:sz w:val="20"/>
                <w:szCs w:val="20"/>
                <w:shd w:val="clear" w:color="auto" w:fill="FFFFFF"/>
              </w:rPr>
              <w:t>2,83,51,162</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1,32,92,942</w:t>
            </w:r>
          </w:p>
        </w:tc>
        <w:tc>
          <w:tcPr>
            <w:tcW w:w="1350" w:type="dxa"/>
            <w:vAlign w:val="center"/>
          </w:tcPr>
          <w:p w:rsidR="00C70320" w:rsidRPr="002F7CEB" w:rsidRDefault="00D76FC0" w:rsidP="00D76FC0">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89,21,396</w:t>
            </w:r>
          </w:p>
        </w:tc>
      </w:tr>
      <w:tr w:rsidR="002B07FF" w:rsidTr="00AD5CE6">
        <w:tc>
          <w:tcPr>
            <w:tcW w:w="1710" w:type="dxa"/>
            <w:vAlign w:val="center"/>
          </w:tcPr>
          <w:p w:rsidR="00B0675A" w:rsidRDefault="00935C9E" w:rsidP="00C70320">
            <w:pPr>
              <w:jc w:val="center"/>
            </w:pPr>
            <w:r>
              <w:t xml:space="preserve">Sanjay Nagar </w:t>
            </w:r>
          </w:p>
          <w:p w:rsidR="00C70320" w:rsidRDefault="00935C9E" w:rsidP="00C70320">
            <w:pPr>
              <w:jc w:val="center"/>
            </w:pPr>
            <w:r>
              <w:t>(019)</w:t>
            </w:r>
          </w:p>
        </w:tc>
        <w:tc>
          <w:tcPr>
            <w:tcW w:w="1440" w:type="dxa"/>
            <w:vAlign w:val="center"/>
          </w:tcPr>
          <w:p w:rsidR="00C70320" w:rsidRDefault="002B07FF" w:rsidP="002B07FF">
            <w:pPr>
              <w:jc w:val="center"/>
            </w:pPr>
            <w:r>
              <w:rPr>
                <w:rFonts w:ascii="Calibri" w:hAnsi="Calibri" w:cs="Calibri"/>
                <w:color w:val="000000"/>
              </w:rPr>
              <w:t>14,380,658</w:t>
            </w:r>
          </w:p>
        </w:tc>
        <w:tc>
          <w:tcPr>
            <w:tcW w:w="1350" w:type="dxa"/>
            <w:vAlign w:val="center"/>
          </w:tcPr>
          <w:p w:rsidR="00C70320" w:rsidRDefault="00D603CD" w:rsidP="00D603CD">
            <w:pPr>
              <w:jc w:val="center"/>
            </w:pPr>
            <w:r>
              <w:rPr>
                <w:rFonts w:ascii="Calibri" w:hAnsi="Calibri" w:cs="Calibri"/>
                <w:color w:val="000000"/>
              </w:rPr>
              <w:t>63,64,714</w:t>
            </w:r>
          </w:p>
        </w:tc>
        <w:tc>
          <w:tcPr>
            <w:tcW w:w="1359" w:type="dxa"/>
            <w:vAlign w:val="center"/>
          </w:tcPr>
          <w:p w:rsidR="00C70320" w:rsidRDefault="0096191D" w:rsidP="0096191D">
            <w:pPr>
              <w:jc w:val="center"/>
            </w:pPr>
            <w:r>
              <w:rPr>
                <w:rFonts w:ascii="Calibri" w:hAnsi="Calibri" w:cs="Calibri"/>
                <w:color w:val="000000"/>
              </w:rPr>
              <w:t>24,81,605</w:t>
            </w:r>
          </w:p>
        </w:tc>
        <w:tc>
          <w:tcPr>
            <w:tcW w:w="1431" w:type="dxa"/>
            <w:vAlign w:val="center"/>
          </w:tcPr>
          <w:p w:rsidR="00C70320" w:rsidRPr="002F7CEB" w:rsidRDefault="00935C9E" w:rsidP="00C7032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1,43,36,232</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62,93,082</w:t>
            </w:r>
          </w:p>
        </w:tc>
        <w:tc>
          <w:tcPr>
            <w:tcW w:w="1350" w:type="dxa"/>
            <w:vAlign w:val="center"/>
          </w:tcPr>
          <w:p w:rsidR="00C70320" w:rsidRPr="002F7CEB" w:rsidRDefault="00A871B3" w:rsidP="00A871B3">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27,41,032</w:t>
            </w:r>
          </w:p>
        </w:tc>
      </w:tr>
      <w:tr w:rsidR="002B07FF" w:rsidTr="00AD5CE6">
        <w:tc>
          <w:tcPr>
            <w:tcW w:w="1710" w:type="dxa"/>
            <w:vAlign w:val="center"/>
          </w:tcPr>
          <w:p w:rsidR="00C70320" w:rsidRDefault="00935C9E" w:rsidP="00C70320">
            <w:pPr>
              <w:jc w:val="center"/>
            </w:pPr>
            <w:r>
              <w:t>Shantala Nagar (111)</w:t>
            </w:r>
          </w:p>
        </w:tc>
        <w:tc>
          <w:tcPr>
            <w:tcW w:w="1440" w:type="dxa"/>
            <w:vAlign w:val="center"/>
          </w:tcPr>
          <w:p w:rsidR="00C70320" w:rsidRDefault="002B07FF" w:rsidP="002B07FF">
            <w:pPr>
              <w:jc w:val="center"/>
            </w:pPr>
            <w:r>
              <w:rPr>
                <w:rFonts w:ascii="Calibri" w:hAnsi="Calibri" w:cs="Calibri"/>
                <w:color w:val="000000"/>
              </w:rPr>
              <w:t>21,68,67,788</w:t>
            </w:r>
          </w:p>
        </w:tc>
        <w:tc>
          <w:tcPr>
            <w:tcW w:w="1350" w:type="dxa"/>
            <w:vAlign w:val="center"/>
          </w:tcPr>
          <w:p w:rsidR="00C70320" w:rsidRDefault="00D603CD" w:rsidP="00D603CD">
            <w:pPr>
              <w:jc w:val="center"/>
            </w:pPr>
            <w:r>
              <w:rPr>
                <w:rFonts w:ascii="Calibri" w:hAnsi="Calibri" w:cs="Calibri"/>
                <w:color w:val="000000"/>
              </w:rPr>
              <w:t>16,45,27,416</w:t>
            </w:r>
            <w:bookmarkStart w:id="3" w:name="_GoBack"/>
            <w:bookmarkEnd w:id="3"/>
          </w:p>
        </w:tc>
        <w:tc>
          <w:tcPr>
            <w:tcW w:w="1359" w:type="dxa"/>
            <w:vAlign w:val="center"/>
          </w:tcPr>
          <w:p w:rsidR="00C70320" w:rsidRDefault="0096191D" w:rsidP="0096191D">
            <w:pPr>
              <w:jc w:val="center"/>
            </w:pPr>
            <w:r>
              <w:rPr>
                <w:rFonts w:ascii="Calibri" w:hAnsi="Calibri" w:cs="Calibri"/>
                <w:color w:val="000000"/>
              </w:rPr>
              <w:t>8,99,55,087</w:t>
            </w:r>
          </w:p>
        </w:tc>
        <w:tc>
          <w:tcPr>
            <w:tcW w:w="1431" w:type="dxa"/>
            <w:vAlign w:val="center"/>
          </w:tcPr>
          <w:p w:rsidR="00C70320" w:rsidRPr="002F7CEB" w:rsidRDefault="00935C9E" w:rsidP="002F7CEB">
            <w:pP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17,61,80,888</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8,54,41,903</w:t>
            </w:r>
          </w:p>
        </w:tc>
        <w:tc>
          <w:tcPr>
            <w:tcW w:w="1350" w:type="dxa"/>
            <w:vAlign w:val="center"/>
          </w:tcPr>
          <w:p w:rsidR="00C70320" w:rsidRPr="002F7CEB" w:rsidRDefault="00EC4876" w:rsidP="00EC4876">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3,33,09,715</w:t>
            </w:r>
          </w:p>
        </w:tc>
      </w:tr>
      <w:tr w:rsidR="002B07FF" w:rsidTr="00AD5CE6">
        <w:tc>
          <w:tcPr>
            <w:tcW w:w="1710" w:type="dxa"/>
            <w:vAlign w:val="center"/>
          </w:tcPr>
          <w:p w:rsidR="00C70320" w:rsidRDefault="00935C9E" w:rsidP="00C70320">
            <w:pPr>
              <w:jc w:val="center"/>
            </w:pPr>
            <w:r>
              <w:lastRenderedPageBreak/>
              <w:t>Vidyaranyapura (009)</w:t>
            </w:r>
          </w:p>
        </w:tc>
        <w:tc>
          <w:tcPr>
            <w:tcW w:w="1440" w:type="dxa"/>
            <w:vAlign w:val="center"/>
          </w:tcPr>
          <w:p w:rsidR="00C70320" w:rsidRDefault="002B07FF" w:rsidP="002B07FF">
            <w:pPr>
              <w:jc w:val="center"/>
            </w:pPr>
            <w:r>
              <w:rPr>
                <w:rFonts w:ascii="Calibri" w:hAnsi="Calibri" w:cs="Calibri"/>
                <w:color w:val="000000"/>
              </w:rPr>
              <w:t>2,51,81,073</w:t>
            </w:r>
          </w:p>
        </w:tc>
        <w:tc>
          <w:tcPr>
            <w:tcW w:w="1350" w:type="dxa"/>
            <w:vAlign w:val="center"/>
          </w:tcPr>
          <w:p w:rsidR="00C70320" w:rsidRDefault="00D603CD" w:rsidP="00D603CD">
            <w:pPr>
              <w:jc w:val="center"/>
            </w:pPr>
            <w:r>
              <w:rPr>
                <w:rFonts w:ascii="Calibri" w:hAnsi="Calibri" w:cs="Calibri"/>
                <w:color w:val="000000"/>
              </w:rPr>
              <w:t>90,88,945</w:t>
            </w:r>
          </w:p>
        </w:tc>
        <w:tc>
          <w:tcPr>
            <w:tcW w:w="1359" w:type="dxa"/>
            <w:vAlign w:val="center"/>
          </w:tcPr>
          <w:p w:rsidR="00C70320" w:rsidRDefault="0096191D" w:rsidP="0096191D">
            <w:pPr>
              <w:jc w:val="center"/>
            </w:pPr>
            <w:r>
              <w:rPr>
                <w:rFonts w:ascii="Calibri" w:hAnsi="Calibri" w:cs="Calibri"/>
                <w:color w:val="000000"/>
              </w:rPr>
              <w:t>45,71,731</w:t>
            </w:r>
          </w:p>
        </w:tc>
        <w:tc>
          <w:tcPr>
            <w:tcW w:w="1431" w:type="dxa"/>
            <w:vAlign w:val="center"/>
          </w:tcPr>
          <w:p w:rsidR="00C70320" w:rsidRPr="002F7CEB" w:rsidRDefault="00935C9E" w:rsidP="00C70320">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2,28,20,951</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 xml:space="preserve">47,71,468 </w:t>
            </w:r>
          </w:p>
        </w:tc>
        <w:tc>
          <w:tcPr>
            <w:tcW w:w="1350" w:type="dxa"/>
            <w:vAlign w:val="center"/>
          </w:tcPr>
          <w:p w:rsidR="00C70320" w:rsidRPr="002F7CEB" w:rsidRDefault="00A871B3" w:rsidP="00A871B3">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14,35,275</w:t>
            </w:r>
          </w:p>
        </w:tc>
      </w:tr>
      <w:tr w:rsidR="002B07FF" w:rsidTr="00AD5CE6">
        <w:tc>
          <w:tcPr>
            <w:tcW w:w="1710" w:type="dxa"/>
            <w:vAlign w:val="center"/>
          </w:tcPr>
          <w:p w:rsidR="00C70320" w:rsidRDefault="00935C9E" w:rsidP="00C70320">
            <w:pPr>
              <w:jc w:val="center"/>
            </w:pPr>
            <w:r>
              <w:t>Yeshwantpura (037)</w:t>
            </w:r>
          </w:p>
        </w:tc>
        <w:tc>
          <w:tcPr>
            <w:tcW w:w="1440" w:type="dxa"/>
            <w:vAlign w:val="center"/>
          </w:tcPr>
          <w:p w:rsidR="00C70320" w:rsidRDefault="002B07FF" w:rsidP="002B07FF">
            <w:pPr>
              <w:jc w:val="center"/>
            </w:pPr>
            <w:r>
              <w:rPr>
                <w:rFonts w:ascii="Calibri" w:hAnsi="Calibri" w:cs="Calibri"/>
                <w:color w:val="000000"/>
              </w:rPr>
              <w:t>64,44,024</w:t>
            </w:r>
          </w:p>
        </w:tc>
        <w:tc>
          <w:tcPr>
            <w:tcW w:w="1350" w:type="dxa"/>
            <w:vAlign w:val="center"/>
          </w:tcPr>
          <w:p w:rsidR="00C70320" w:rsidRDefault="00D603CD" w:rsidP="00D603CD">
            <w:pPr>
              <w:jc w:val="center"/>
            </w:pPr>
            <w:r>
              <w:rPr>
                <w:rFonts w:ascii="Calibri" w:hAnsi="Calibri" w:cs="Calibri"/>
                <w:color w:val="000000"/>
              </w:rPr>
              <w:t>36,66,015</w:t>
            </w:r>
          </w:p>
        </w:tc>
        <w:tc>
          <w:tcPr>
            <w:tcW w:w="1359" w:type="dxa"/>
            <w:vAlign w:val="center"/>
          </w:tcPr>
          <w:p w:rsidR="00C70320" w:rsidRDefault="0096191D" w:rsidP="0096191D">
            <w:pPr>
              <w:jc w:val="center"/>
            </w:pPr>
            <w:r>
              <w:rPr>
                <w:rFonts w:ascii="Calibri" w:hAnsi="Calibri" w:cs="Calibri"/>
                <w:color w:val="000000"/>
              </w:rPr>
              <w:t>13,58,323</w:t>
            </w:r>
          </w:p>
        </w:tc>
        <w:tc>
          <w:tcPr>
            <w:tcW w:w="1431" w:type="dxa"/>
            <w:vAlign w:val="center"/>
          </w:tcPr>
          <w:p w:rsidR="00C70320" w:rsidRPr="002F7CEB" w:rsidRDefault="00935C9E" w:rsidP="00C70320">
            <w:pPr>
              <w:jc w:val="center"/>
              <w:rPr>
                <w:rFonts w:ascii="Arial" w:hAnsi="Arial" w:cs="Arial"/>
                <w:color w:val="000000"/>
                <w:sz w:val="20"/>
                <w:szCs w:val="20"/>
                <w:shd w:val="clear" w:color="auto" w:fill="FFFFFF"/>
              </w:rPr>
            </w:pPr>
            <w:r>
              <w:rPr>
                <w:rFonts w:ascii="Arial" w:hAnsi="Arial" w:cs="Arial"/>
                <w:color w:val="000000"/>
                <w:sz w:val="20"/>
                <w:szCs w:val="20"/>
                <w:shd w:val="clear" w:color="auto" w:fill="FFFFFF"/>
              </w:rPr>
              <w:t>71,76,988</w:t>
            </w:r>
          </w:p>
        </w:tc>
        <w:tc>
          <w:tcPr>
            <w:tcW w:w="1350" w:type="dxa"/>
            <w:vAlign w:val="center"/>
          </w:tcPr>
          <w:p w:rsidR="00C70320" w:rsidRPr="002F7CEB" w:rsidRDefault="002F7CEB" w:rsidP="002F7CEB">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32,74,525</w:t>
            </w:r>
          </w:p>
        </w:tc>
        <w:tc>
          <w:tcPr>
            <w:tcW w:w="1350" w:type="dxa"/>
            <w:vAlign w:val="center"/>
          </w:tcPr>
          <w:p w:rsidR="00C70320" w:rsidRPr="002F7CEB" w:rsidRDefault="00D76FC0" w:rsidP="00D76FC0">
            <w:pPr>
              <w:jc w:val="center"/>
              <w:rPr>
                <w:rFonts w:ascii="Arial" w:hAnsi="Arial" w:cs="Arial"/>
                <w:color w:val="000000"/>
                <w:sz w:val="20"/>
                <w:szCs w:val="20"/>
                <w:shd w:val="clear" w:color="auto" w:fill="FFFFFF"/>
              </w:rPr>
            </w:pPr>
            <w:r w:rsidRPr="002F7CEB">
              <w:rPr>
                <w:rFonts w:ascii="Arial" w:hAnsi="Arial" w:cs="Arial"/>
                <w:color w:val="000000"/>
                <w:sz w:val="20"/>
                <w:szCs w:val="20"/>
                <w:shd w:val="clear" w:color="auto" w:fill="FFFFFF"/>
              </w:rPr>
              <w:t>10,36,469</w:t>
            </w:r>
          </w:p>
        </w:tc>
      </w:tr>
      <w:tr w:rsidR="002B07FF" w:rsidTr="00AD5CE6">
        <w:tc>
          <w:tcPr>
            <w:tcW w:w="1710" w:type="dxa"/>
            <w:shd w:val="clear" w:color="auto" w:fill="FFFF00"/>
            <w:vAlign w:val="center"/>
          </w:tcPr>
          <w:p w:rsidR="00C70320" w:rsidRPr="00C70320" w:rsidRDefault="00C70320" w:rsidP="00C70320">
            <w:pPr>
              <w:jc w:val="center"/>
              <w:rPr>
                <w:b/>
              </w:rPr>
            </w:pPr>
            <w:r w:rsidRPr="00C70320">
              <w:rPr>
                <w:b/>
              </w:rPr>
              <w:t>Total</w:t>
            </w:r>
          </w:p>
        </w:tc>
        <w:tc>
          <w:tcPr>
            <w:tcW w:w="1440" w:type="dxa"/>
            <w:shd w:val="clear" w:color="auto" w:fill="FFFF00"/>
            <w:vAlign w:val="center"/>
          </w:tcPr>
          <w:p w:rsidR="00C70320" w:rsidRDefault="002B07FF" w:rsidP="002B07FF">
            <w:pPr>
              <w:jc w:val="center"/>
            </w:pPr>
            <w:r>
              <w:rPr>
                <w:rFonts w:ascii="Calibri" w:hAnsi="Calibri" w:cs="Calibri"/>
                <w:b/>
                <w:bCs/>
                <w:color w:val="000000"/>
              </w:rPr>
              <w:t>40,13,25,229</w:t>
            </w:r>
          </w:p>
        </w:tc>
        <w:tc>
          <w:tcPr>
            <w:tcW w:w="1350" w:type="dxa"/>
            <w:shd w:val="clear" w:color="auto" w:fill="FFFF00"/>
            <w:vAlign w:val="center"/>
          </w:tcPr>
          <w:p w:rsidR="00C70320" w:rsidRDefault="00D27C59" w:rsidP="00D603CD">
            <w:pPr>
              <w:jc w:val="center"/>
            </w:pPr>
            <w:r>
              <w:rPr>
                <w:rFonts w:ascii="Calibri" w:hAnsi="Calibri" w:cs="Calibri"/>
                <w:b/>
                <w:bCs/>
                <w:color w:val="000000"/>
              </w:rPr>
              <w:t>25,8</w:t>
            </w:r>
            <w:r w:rsidR="00D603CD">
              <w:rPr>
                <w:rFonts w:ascii="Calibri" w:hAnsi="Calibri" w:cs="Calibri"/>
                <w:b/>
                <w:bCs/>
                <w:color w:val="000000"/>
              </w:rPr>
              <w:t>3</w:t>
            </w:r>
            <w:r>
              <w:rPr>
                <w:rFonts w:ascii="Calibri" w:hAnsi="Calibri" w:cs="Calibri"/>
                <w:b/>
                <w:bCs/>
                <w:color w:val="000000"/>
              </w:rPr>
              <w:t>,</w:t>
            </w:r>
            <w:r w:rsidR="00D603CD">
              <w:rPr>
                <w:rFonts w:ascii="Calibri" w:hAnsi="Calibri" w:cs="Calibri"/>
                <w:b/>
                <w:bCs/>
                <w:color w:val="000000"/>
              </w:rPr>
              <w:t>07,490</w:t>
            </w:r>
          </w:p>
        </w:tc>
        <w:tc>
          <w:tcPr>
            <w:tcW w:w="1359" w:type="dxa"/>
            <w:shd w:val="clear" w:color="auto" w:fill="FFFF00"/>
            <w:vAlign w:val="center"/>
          </w:tcPr>
          <w:p w:rsidR="00C70320" w:rsidRDefault="0096191D" w:rsidP="0096191D">
            <w:pPr>
              <w:jc w:val="center"/>
            </w:pPr>
            <w:r>
              <w:rPr>
                <w:rFonts w:ascii="Calibri" w:hAnsi="Calibri" w:cs="Calibri"/>
                <w:b/>
                <w:bCs/>
                <w:color w:val="000000"/>
              </w:rPr>
              <w:t>14,79,99,424</w:t>
            </w:r>
          </w:p>
        </w:tc>
        <w:tc>
          <w:tcPr>
            <w:tcW w:w="1431" w:type="dxa"/>
            <w:shd w:val="clear" w:color="auto" w:fill="FFFF00"/>
            <w:vAlign w:val="center"/>
          </w:tcPr>
          <w:p w:rsidR="00C70320" w:rsidRPr="00D27C59" w:rsidRDefault="00935C9E" w:rsidP="00AD5CE6">
            <w:pPr>
              <w:jc w:val="center"/>
              <w:rPr>
                <w:rFonts w:ascii="Calibri" w:hAnsi="Calibri" w:cs="Calibri"/>
                <w:b/>
                <w:color w:val="000000"/>
              </w:rPr>
            </w:pPr>
            <w:r w:rsidRPr="00D27C59">
              <w:rPr>
                <w:rFonts w:ascii="Calibri" w:hAnsi="Calibri" w:cs="Calibri"/>
                <w:b/>
                <w:color w:val="000000"/>
              </w:rPr>
              <w:t>34,82,97,010</w:t>
            </w:r>
          </w:p>
        </w:tc>
        <w:tc>
          <w:tcPr>
            <w:tcW w:w="1350" w:type="dxa"/>
            <w:shd w:val="clear" w:color="auto" w:fill="FFFF00"/>
            <w:vAlign w:val="center"/>
          </w:tcPr>
          <w:p w:rsidR="00C70320" w:rsidRPr="00D27C59" w:rsidRDefault="002F7CEB" w:rsidP="00AD5CE6">
            <w:pPr>
              <w:jc w:val="center"/>
              <w:rPr>
                <w:rFonts w:ascii="Calibri" w:hAnsi="Calibri" w:cs="Calibri"/>
                <w:b/>
                <w:color w:val="000000"/>
              </w:rPr>
            </w:pPr>
            <w:r w:rsidRPr="00D27C59">
              <w:rPr>
                <w:rFonts w:ascii="Calibri" w:hAnsi="Calibri" w:cs="Calibri"/>
                <w:b/>
                <w:color w:val="000000"/>
              </w:rPr>
              <w:t>16,05,87,512</w:t>
            </w:r>
          </w:p>
        </w:tc>
        <w:tc>
          <w:tcPr>
            <w:tcW w:w="1350" w:type="dxa"/>
            <w:shd w:val="clear" w:color="auto" w:fill="FFFF00"/>
            <w:vAlign w:val="center"/>
          </w:tcPr>
          <w:p w:rsidR="00C70320" w:rsidRPr="00D27C59" w:rsidRDefault="00EC4876" w:rsidP="00AD5CE6">
            <w:pPr>
              <w:jc w:val="center"/>
              <w:rPr>
                <w:rFonts w:ascii="Calibri" w:hAnsi="Calibri" w:cs="Calibri"/>
                <w:b/>
                <w:color w:val="000000"/>
              </w:rPr>
            </w:pPr>
            <w:r w:rsidRPr="00D27C59">
              <w:rPr>
                <w:rFonts w:ascii="Calibri" w:hAnsi="Calibri" w:cs="Calibri"/>
                <w:b/>
                <w:color w:val="000000"/>
              </w:rPr>
              <w:t>7,68,28,445</w:t>
            </w:r>
          </w:p>
        </w:tc>
      </w:tr>
    </w:tbl>
    <w:p w:rsidR="00E53F9F" w:rsidRDefault="00E53F9F" w:rsidP="00AA26BE"/>
    <w:p w:rsidR="002F7CEB" w:rsidRDefault="002F7CEB" w:rsidP="00E53F9F">
      <w:pPr>
        <w:pStyle w:val="Heading2"/>
      </w:pPr>
      <w:bookmarkStart w:id="4" w:name="_Toc483566408"/>
    </w:p>
    <w:p w:rsidR="00E53F9F" w:rsidRDefault="00D52548" w:rsidP="00AD5CE6">
      <w:pPr>
        <w:pStyle w:val="Heading2"/>
        <w:numPr>
          <w:ilvl w:val="1"/>
          <w:numId w:val="4"/>
        </w:numPr>
      </w:pPr>
      <w:r>
        <w:t>Description</w:t>
      </w:r>
      <w:bookmarkEnd w:id="4"/>
    </w:p>
    <w:p w:rsidR="00AD5CE6" w:rsidRPr="00AD5CE6" w:rsidRDefault="00AD5CE6" w:rsidP="00680D1F">
      <w:pPr>
        <w:jc w:val="both"/>
      </w:pPr>
      <w:r>
        <w:t>Tax defaulted is calculated by aggregating the tax due from properties which haven’t paid taxes from some point in time, till date.</w:t>
      </w:r>
    </w:p>
    <w:p w:rsidR="00ED4373" w:rsidRDefault="00ED4373" w:rsidP="00680D1F">
      <w:pPr>
        <w:jc w:val="both"/>
      </w:pPr>
      <w:r>
        <w:t xml:space="preserve">Additional opportunity identifies the additional revenue that can be collected over and above </w:t>
      </w:r>
      <w:proofErr w:type="gramStart"/>
      <w:r>
        <w:t>outstanding</w:t>
      </w:r>
      <w:proofErr w:type="gramEnd"/>
      <w:r>
        <w:t xml:space="preserve"> tax dues. The additional revenue is calculated from two main sub components:</w:t>
      </w:r>
    </w:p>
    <w:p w:rsidR="00ED4373" w:rsidRDefault="00ED4373" w:rsidP="00680D1F">
      <w:pPr>
        <w:pStyle w:val="ListParagraph"/>
        <w:numPr>
          <w:ilvl w:val="0"/>
          <w:numId w:val="3"/>
        </w:numPr>
        <w:jc w:val="both"/>
      </w:pPr>
      <w:r>
        <w:t>Underreporting of tax identified from historical variation</w:t>
      </w:r>
    </w:p>
    <w:p w:rsidR="00ED4373" w:rsidRDefault="00ED4373" w:rsidP="00680D1F">
      <w:pPr>
        <w:pStyle w:val="ListParagraph"/>
        <w:numPr>
          <w:ilvl w:val="0"/>
          <w:numId w:val="3"/>
        </w:numPr>
        <w:jc w:val="both"/>
      </w:pPr>
      <w:r>
        <w:t>Underreporting of tax identified from tax variation of properties on same street</w:t>
      </w:r>
    </w:p>
    <w:p w:rsidR="00ED4373" w:rsidRDefault="00ED4373" w:rsidP="00680D1F">
      <w:pPr>
        <w:pStyle w:val="Heading3"/>
        <w:jc w:val="both"/>
      </w:pPr>
      <w:r>
        <w:t>1.2.1. Tax Revenue Identified from Historical Variation</w:t>
      </w:r>
    </w:p>
    <w:p w:rsidR="00ED4373" w:rsidRDefault="00ED4373" w:rsidP="00680D1F">
      <w:pPr>
        <w:jc w:val="both"/>
      </w:pPr>
      <w:r>
        <w:t xml:space="preserve">This component identifies the potential cases of tax underpayment by looking at the historical trend of tax payments. </w:t>
      </w:r>
      <w:proofErr w:type="spellStart"/>
      <w:r>
        <w:t>Propert</w:t>
      </w:r>
      <w:proofErr w:type="spellEnd"/>
      <w:r>
        <w:t xml:space="preserve"> tax payments are expected to increase or stabilize. However, properties which are found to pay higher tax to a point, after which they pay lower </w:t>
      </w:r>
      <w:proofErr w:type="gramStart"/>
      <w:r>
        <w:t>tax</w:t>
      </w:r>
      <w:proofErr w:type="gramEnd"/>
      <w:r>
        <w:t xml:space="preserve"> are flagged, and the difference from the high tax point is captured as additional revenue opportunity. </w:t>
      </w:r>
    </w:p>
    <w:p w:rsidR="00ED4373" w:rsidRDefault="00ED4373" w:rsidP="00680D1F">
      <w:pPr>
        <w:pStyle w:val="Heading3"/>
        <w:jc w:val="both"/>
      </w:pPr>
      <w:r>
        <w:t>1.2.2. Tax Revenue Identified from Street Level Variation</w:t>
      </w:r>
    </w:p>
    <w:p w:rsidR="00ED4373" w:rsidRDefault="00ED4373" w:rsidP="00680D1F">
      <w:pPr>
        <w:jc w:val="both"/>
      </w:pPr>
      <w:r>
        <w:t xml:space="preserve">This component identifies potential cases of tax underpayment by looking at properties on the same street. Properties on the same street are expected to be of the same value, all other factors (size, #floors, </w:t>
      </w:r>
      <w:proofErr w:type="spellStart"/>
      <w:r>
        <w:t>etc</w:t>
      </w:r>
      <w:proofErr w:type="spellEnd"/>
      <w:r>
        <w:t xml:space="preserve">) remaining equal. </w:t>
      </w:r>
      <w:r w:rsidR="0070051C">
        <w:t xml:space="preserve">However, if two properties on the same street with comparable characteristics are found to pay different taxes, the difference between the taxes is captured as additional revenue opportunity. </w:t>
      </w:r>
    </w:p>
    <w:p w:rsidR="005F49E7" w:rsidRDefault="005F49E7" w:rsidP="00680D1F">
      <w:pPr>
        <w:jc w:val="both"/>
      </w:pPr>
      <w:r>
        <w:t xml:space="preserve">Note that this class of revenue opportunity requires additional ground truth to validate the scope of opportunity. For the purpose of this report, certain properties were chosen at random from streets with high variance, and studied as an illustrative sample. </w:t>
      </w:r>
    </w:p>
    <w:p w:rsidR="005F49E7" w:rsidRPr="00ED4373" w:rsidRDefault="005F49E7" w:rsidP="00680D1F">
      <w:pPr>
        <w:pStyle w:val="Heading1"/>
        <w:jc w:val="both"/>
      </w:pPr>
      <w:r>
        <w:t>2. Anomalous Properties</w:t>
      </w:r>
    </w:p>
    <w:p w:rsidR="00680D1F" w:rsidRDefault="00D0749D" w:rsidP="00680D1F">
      <w:pPr>
        <w:jc w:val="both"/>
      </w:pPr>
      <w:r>
        <w:t>This section captures properties which exhibit anomalous behavior in terms of their tax payments.</w:t>
      </w:r>
      <w:r w:rsidR="00C1604D">
        <w:t xml:space="preserve"> </w:t>
      </w:r>
      <w:r>
        <w:t xml:space="preserve"> </w:t>
      </w:r>
      <w:r w:rsidR="00680D1F">
        <w:t>Anomalous properties fall into three broad buckets:</w:t>
      </w:r>
    </w:p>
    <w:p w:rsidR="00680D1F" w:rsidRDefault="00680D1F" w:rsidP="00680D1F">
      <w:pPr>
        <w:pStyle w:val="ListParagraph"/>
        <w:numPr>
          <w:ilvl w:val="0"/>
          <w:numId w:val="6"/>
        </w:numPr>
        <w:jc w:val="both"/>
      </w:pPr>
      <w:r>
        <w:t>Properties on the same street which show high variation in tax paid from other properties</w:t>
      </w:r>
    </w:p>
    <w:p w:rsidR="00680D1F" w:rsidRDefault="00680D1F" w:rsidP="00680D1F">
      <w:pPr>
        <w:pStyle w:val="ListParagraph"/>
        <w:numPr>
          <w:ilvl w:val="0"/>
          <w:numId w:val="6"/>
        </w:numPr>
        <w:jc w:val="both"/>
      </w:pPr>
      <w:r>
        <w:t>Instances where the application number is repeated across properties in the same assessment year</w:t>
      </w:r>
    </w:p>
    <w:p w:rsidR="00680D1F" w:rsidRDefault="00C539DA" w:rsidP="00680D1F">
      <w:pPr>
        <w:pStyle w:val="ListParagraph"/>
        <w:numPr>
          <w:ilvl w:val="0"/>
          <w:numId w:val="6"/>
        </w:numPr>
        <w:jc w:val="both"/>
      </w:pPr>
      <w:r>
        <w:lastRenderedPageBreak/>
        <w:t>Properties which show a high variation in the relative amount of tax paid</w:t>
      </w:r>
    </w:p>
    <w:p w:rsidR="00B62141" w:rsidRDefault="00C539DA" w:rsidP="00C539DA">
      <w:pPr>
        <w:pStyle w:val="Heading2"/>
      </w:pPr>
      <w:r>
        <w:t>2.1. High Variation within a Street</w:t>
      </w:r>
    </w:p>
    <w:p w:rsidR="00C539DA" w:rsidRPr="00C539DA" w:rsidRDefault="00C539DA" w:rsidP="00C539DA"/>
    <w:sectPr w:rsidR="00C539DA" w:rsidRPr="00C539D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FFC" w:rsidRDefault="006B0FFC" w:rsidP="007620E9">
      <w:pPr>
        <w:spacing w:after="0" w:line="240" w:lineRule="auto"/>
      </w:pPr>
      <w:r>
        <w:separator/>
      </w:r>
    </w:p>
  </w:endnote>
  <w:endnote w:type="continuationSeparator" w:id="0">
    <w:p w:rsidR="006B0FFC" w:rsidRDefault="006B0FFC"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9DA" w:rsidRDefault="00C539D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C01EC6" w:rsidRPr="00C01EC6">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rsidR="00C539DA" w:rsidRDefault="00C53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FFC" w:rsidRDefault="006B0FFC" w:rsidP="007620E9">
      <w:pPr>
        <w:spacing w:after="0" w:line="240" w:lineRule="auto"/>
      </w:pPr>
      <w:r>
        <w:separator/>
      </w:r>
    </w:p>
  </w:footnote>
  <w:footnote w:type="continuationSeparator" w:id="0">
    <w:p w:rsidR="006B0FFC" w:rsidRDefault="006B0FFC"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C539DA" w:rsidRDefault="00C539D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w:t>
        </w:r>
      </w:p>
    </w:sdtContent>
  </w:sdt>
  <w:p w:rsidR="00C539DA" w:rsidRDefault="00C539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12549"/>
    <w:multiLevelType w:val="hybridMultilevel"/>
    <w:tmpl w:val="1BA0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183380"/>
    <w:multiLevelType w:val="hybridMultilevel"/>
    <w:tmpl w:val="E3F0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DC30AD"/>
    <w:multiLevelType w:val="hybridMultilevel"/>
    <w:tmpl w:val="480A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3D3E78"/>
    <w:multiLevelType w:val="multilevel"/>
    <w:tmpl w:val="A71C45C0"/>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26018"/>
    <w:rsid w:val="00063DE7"/>
    <w:rsid w:val="000B7A46"/>
    <w:rsid w:val="00174BBF"/>
    <w:rsid w:val="00227411"/>
    <w:rsid w:val="00232B01"/>
    <w:rsid w:val="00244234"/>
    <w:rsid w:val="00267676"/>
    <w:rsid w:val="00273355"/>
    <w:rsid w:val="00291E15"/>
    <w:rsid w:val="002B07FF"/>
    <w:rsid w:val="002B7369"/>
    <w:rsid w:val="002F7CEB"/>
    <w:rsid w:val="00394353"/>
    <w:rsid w:val="00457C50"/>
    <w:rsid w:val="004F4DBE"/>
    <w:rsid w:val="00531281"/>
    <w:rsid w:val="005B6F7C"/>
    <w:rsid w:val="005F49E7"/>
    <w:rsid w:val="00680D1F"/>
    <w:rsid w:val="006B0FFC"/>
    <w:rsid w:val="006D0D56"/>
    <w:rsid w:val="0070051C"/>
    <w:rsid w:val="00724E5F"/>
    <w:rsid w:val="00735BDF"/>
    <w:rsid w:val="007620E9"/>
    <w:rsid w:val="007C3EF2"/>
    <w:rsid w:val="007E7288"/>
    <w:rsid w:val="00843171"/>
    <w:rsid w:val="00864B94"/>
    <w:rsid w:val="00935C9E"/>
    <w:rsid w:val="0096191D"/>
    <w:rsid w:val="00970378"/>
    <w:rsid w:val="00A519FB"/>
    <w:rsid w:val="00A871B3"/>
    <w:rsid w:val="00AA26BE"/>
    <w:rsid w:val="00AD01A2"/>
    <w:rsid w:val="00AD5CE6"/>
    <w:rsid w:val="00AF61CF"/>
    <w:rsid w:val="00B0675A"/>
    <w:rsid w:val="00B17296"/>
    <w:rsid w:val="00B62141"/>
    <w:rsid w:val="00B63FBE"/>
    <w:rsid w:val="00BC6101"/>
    <w:rsid w:val="00C01EC6"/>
    <w:rsid w:val="00C1604D"/>
    <w:rsid w:val="00C539DA"/>
    <w:rsid w:val="00C70320"/>
    <w:rsid w:val="00CF4231"/>
    <w:rsid w:val="00D0749D"/>
    <w:rsid w:val="00D27C59"/>
    <w:rsid w:val="00D52548"/>
    <w:rsid w:val="00D603CD"/>
    <w:rsid w:val="00D76FC0"/>
    <w:rsid w:val="00DC783D"/>
    <w:rsid w:val="00E53F9F"/>
    <w:rsid w:val="00E66DAF"/>
    <w:rsid w:val="00E828DA"/>
    <w:rsid w:val="00E9034D"/>
    <w:rsid w:val="00EC4876"/>
    <w:rsid w:val="00ED4373"/>
    <w:rsid w:val="00F035E7"/>
    <w:rsid w:val="00F15E41"/>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320"/>
    <w:pPr>
      <w:keepNext/>
      <w:keepLines/>
      <w:spacing w:before="480" w:after="0"/>
      <w:outlineLvl w:val="0"/>
    </w:pPr>
    <w:rPr>
      <w:rFonts w:asciiTheme="majorHAnsi" w:eastAsiaTheme="majorEastAsia" w:hAnsiTheme="majorHAnsi" w:cstheme="majorBidi"/>
      <w:b/>
      <w:bCs/>
      <w:color w:val="76923C" w:themeColor="accent3" w:themeShade="BF"/>
      <w:sz w:val="28"/>
      <w:szCs w:val="28"/>
    </w:rPr>
  </w:style>
  <w:style w:type="paragraph" w:styleId="Heading2">
    <w:name w:val="heading 2"/>
    <w:basedOn w:val="Normal"/>
    <w:next w:val="Normal"/>
    <w:link w:val="Heading2Char"/>
    <w:uiPriority w:val="9"/>
    <w:unhideWhenUsed/>
    <w:qFormat/>
    <w:rsid w:val="00C70320"/>
    <w:pPr>
      <w:keepNext/>
      <w:keepLines/>
      <w:spacing w:before="200" w:after="0"/>
      <w:outlineLvl w:val="1"/>
    </w:pPr>
    <w:rPr>
      <w:rFonts w:asciiTheme="majorHAnsi" w:eastAsiaTheme="majorEastAsia" w:hAnsiTheme="majorHAnsi" w:cstheme="majorBidi"/>
      <w:b/>
      <w:bCs/>
      <w:color w:val="9BBB59" w:themeColor="accent3"/>
      <w:sz w:val="26"/>
      <w:szCs w:val="26"/>
    </w:rPr>
  </w:style>
  <w:style w:type="paragraph" w:styleId="Heading3">
    <w:name w:val="heading 3"/>
    <w:basedOn w:val="Normal"/>
    <w:next w:val="Normal"/>
    <w:link w:val="Heading3Char"/>
    <w:uiPriority w:val="9"/>
    <w:unhideWhenUsed/>
    <w:qFormat/>
    <w:rsid w:val="00D52548"/>
    <w:pPr>
      <w:keepNext/>
      <w:keepLines/>
      <w:spacing w:before="200" w:after="0"/>
      <w:outlineLvl w:val="2"/>
    </w:pPr>
    <w:rPr>
      <w:rFonts w:asciiTheme="majorHAnsi" w:eastAsiaTheme="majorEastAsia" w:hAnsiTheme="majorHAnsi" w:cstheme="majorBidi"/>
      <w:b/>
      <w:bCs/>
      <w:color w:val="9BBB59" w:themeColor="accent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320"/>
    <w:rPr>
      <w:rFonts w:asciiTheme="majorHAnsi" w:eastAsiaTheme="majorEastAsia" w:hAnsiTheme="majorHAnsi" w:cstheme="majorBidi"/>
      <w:b/>
      <w:bCs/>
      <w:color w:val="76923C" w:themeColor="accent3"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C70320"/>
    <w:rPr>
      <w:rFonts w:asciiTheme="majorHAnsi" w:eastAsiaTheme="majorEastAsia" w:hAnsiTheme="majorHAnsi" w:cstheme="majorBidi"/>
      <w:b/>
      <w:bCs/>
      <w:color w:val="9BBB59" w:themeColor="accent3"/>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D52548"/>
    <w:rPr>
      <w:rFonts w:asciiTheme="majorHAnsi" w:eastAsiaTheme="majorEastAsia" w:hAnsiTheme="majorHAnsi" w:cstheme="majorBidi"/>
      <w:b/>
      <w:bCs/>
      <w:color w:val="9BBB59" w:themeColor="accent3"/>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 w:type="character" w:styleId="CommentReference">
    <w:name w:val="annotation reference"/>
    <w:basedOn w:val="DefaultParagraphFont"/>
    <w:uiPriority w:val="99"/>
    <w:semiHidden/>
    <w:unhideWhenUsed/>
    <w:rsid w:val="00273355"/>
    <w:rPr>
      <w:sz w:val="16"/>
      <w:szCs w:val="16"/>
    </w:rPr>
  </w:style>
  <w:style w:type="paragraph" w:styleId="CommentText">
    <w:name w:val="annotation text"/>
    <w:basedOn w:val="Normal"/>
    <w:link w:val="CommentTextChar"/>
    <w:uiPriority w:val="99"/>
    <w:semiHidden/>
    <w:unhideWhenUsed/>
    <w:rsid w:val="00273355"/>
    <w:pPr>
      <w:spacing w:line="240" w:lineRule="auto"/>
    </w:pPr>
    <w:rPr>
      <w:sz w:val="20"/>
      <w:szCs w:val="20"/>
    </w:rPr>
  </w:style>
  <w:style w:type="character" w:customStyle="1" w:styleId="CommentTextChar">
    <w:name w:val="Comment Text Char"/>
    <w:basedOn w:val="DefaultParagraphFont"/>
    <w:link w:val="CommentText"/>
    <w:uiPriority w:val="99"/>
    <w:semiHidden/>
    <w:rsid w:val="00273355"/>
    <w:rPr>
      <w:sz w:val="20"/>
      <w:szCs w:val="20"/>
    </w:rPr>
  </w:style>
  <w:style w:type="paragraph" w:styleId="CommentSubject">
    <w:name w:val="annotation subject"/>
    <w:basedOn w:val="CommentText"/>
    <w:next w:val="CommentText"/>
    <w:link w:val="CommentSubjectChar"/>
    <w:uiPriority w:val="99"/>
    <w:semiHidden/>
    <w:unhideWhenUsed/>
    <w:rsid w:val="00273355"/>
    <w:rPr>
      <w:b/>
      <w:bCs/>
    </w:rPr>
  </w:style>
  <w:style w:type="character" w:customStyle="1" w:styleId="CommentSubjectChar">
    <w:name w:val="Comment Subject Char"/>
    <w:basedOn w:val="CommentTextChar"/>
    <w:link w:val="CommentSubject"/>
    <w:uiPriority w:val="99"/>
    <w:semiHidden/>
    <w:rsid w:val="002733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4064">
      <w:bodyDiv w:val="1"/>
      <w:marLeft w:val="0"/>
      <w:marRight w:val="0"/>
      <w:marTop w:val="0"/>
      <w:marBottom w:val="0"/>
      <w:divBdr>
        <w:top w:val="none" w:sz="0" w:space="0" w:color="auto"/>
        <w:left w:val="none" w:sz="0" w:space="0" w:color="auto"/>
        <w:bottom w:val="none" w:sz="0" w:space="0" w:color="auto"/>
        <w:right w:val="none" w:sz="0" w:space="0" w:color="auto"/>
      </w:divBdr>
    </w:div>
    <w:div w:id="77943889">
      <w:bodyDiv w:val="1"/>
      <w:marLeft w:val="0"/>
      <w:marRight w:val="0"/>
      <w:marTop w:val="0"/>
      <w:marBottom w:val="0"/>
      <w:divBdr>
        <w:top w:val="none" w:sz="0" w:space="0" w:color="auto"/>
        <w:left w:val="none" w:sz="0" w:space="0" w:color="auto"/>
        <w:bottom w:val="none" w:sz="0" w:space="0" w:color="auto"/>
        <w:right w:val="none" w:sz="0" w:space="0" w:color="auto"/>
      </w:divBdr>
    </w:div>
    <w:div w:id="80956306">
      <w:bodyDiv w:val="1"/>
      <w:marLeft w:val="0"/>
      <w:marRight w:val="0"/>
      <w:marTop w:val="0"/>
      <w:marBottom w:val="0"/>
      <w:divBdr>
        <w:top w:val="none" w:sz="0" w:space="0" w:color="auto"/>
        <w:left w:val="none" w:sz="0" w:space="0" w:color="auto"/>
        <w:bottom w:val="none" w:sz="0" w:space="0" w:color="auto"/>
        <w:right w:val="none" w:sz="0" w:space="0" w:color="auto"/>
      </w:divBdr>
    </w:div>
    <w:div w:id="102966113">
      <w:bodyDiv w:val="1"/>
      <w:marLeft w:val="0"/>
      <w:marRight w:val="0"/>
      <w:marTop w:val="0"/>
      <w:marBottom w:val="0"/>
      <w:divBdr>
        <w:top w:val="none" w:sz="0" w:space="0" w:color="auto"/>
        <w:left w:val="none" w:sz="0" w:space="0" w:color="auto"/>
        <w:bottom w:val="none" w:sz="0" w:space="0" w:color="auto"/>
        <w:right w:val="none" w:sz="0" w:space="0" w:color="auto"/>
      </w:divBdr>
    </w:div>
    <w:div w:id="218325445">
      <w:bodyDiv w:val="1"/>
      <w:marLeft w:val="0"/>
      <w:marRight w:val="0"/>
      <w:marTop w:val="0"/>
      <w:marBottom w:val="0"/>
      <w:divBdr>
        <w:top w:val="none" w:sz="0" w:space="0" w:color="auto"/>
        <w:left w:val="none" w:sz="0" w:space="0" w:color="auto"/>
        <w:bottom w:val="none" w:sz="0" w:space="0" w:color="auto"/>
        <w:right w:val="none" w:sz="0" w:space="0" w:color="auto"/>
      </w:divBdr>
    </w:div>
    <w:div w:id="225535574">
      <w:bodyDiv w:val="1"/>
      <w:marLeft w:val="0"/>
      <w:marRight w:val="0"/>
      <w:marTop w:val="0"/>
      <w:marBottom w:val="0"/>
      <w:divBdr>
        <w:top w:val="none" w:sz="0" w:space="0" w:color="auto"/>
        <w:left w:val="none" w:sz="0" w:space="0" w:color="auto"/>
        <w:bottom w:val="none" w:sz="0" w:space="0" w:color="auto"/>
        <w:right w:val="none" w:sz="0" w:space="0" w:color="auto"/>
      </w:divBdr>
    </w:div>
    <w:div w:id="383213862">
      <w:bodyDiv w:val="1"/>
      <w:marLeft w:val="0"/>
      <w:marRight w:val="0"/>
      <w:marTop w:val="0"/>
      <w:marBottom w:val="0"/>
      <w:divBdr>
        <w:top w:val="none" w:sz="0" w:space="0" w:color="auto"/>
        <w:left w:val="none" w:sz="0" w:space="0" w:color="auto"/>
        <w:bottom w:val="none" w:sz="0" w:space="0" w:color="auto"/>
        <w:right w:val="none" w:sz="0" w:space="0" w:color="auto"/>
      </w:divBdr>
    </w:div>
    <w:div w:id="389697309">
      <w:bodyDiv w:val="1"/>
      <w:marLeft w:val="0"/>
      <w:marRight w:val="0"/>
      <w:marTop w:val="0"/>
      <w:marBottom w:val="0"/>
      <w:divBdr>
        <w:top w:val="none" w:sz="0" w:space="0" w:color="auto"/>
        <w:left w:val="none" w:sz="0" w:space="0" w:color="auto"/>
        <w:bottom w:val="none" w:sz="0" w:space="0" w:color="auto"/>
        <w:right w:val="none" w:sz="0" w:space="0" w:color="auto"/>
      </w:divBdr>
    </w:div>
    <w:div w:id="390349797">
      <w:bodyDiv w:val="1"/>
      <w:marLeft w:val="0"/>
      <w:marRight w:val="0"/>
      <w:marTop w:val="0"/>
      <w:marBottom w:val="0"/>
      <w:divBdr>
        <w:top w:val="none" w:sz="0" w:space="0" w:color="auto"/>
        <w:left w:val="none" w:sz="0" w:space="0" w:color="auto"/>
        <w:bottom w:val="none" w:sz="0" w:space="0" w:color="auto"/>
        <w:right w:val="none" w:sz="0" w:space="0" w:color="auto"/>
      </w:divBdr>
    </w:div>
    <w:div w:id="399258071">
      <w:bodyDiv w:val="1"/>
      <w:marLeft w:val="0"/>
      <w:marRight w:val="0"/>
      <w:marTop w:val="0"/>
      <w:marBottom w:val="0"/>
      <w:divBdr>
        <w:top w:val="none" w:sz="0" w:space="0" w:color="auto"/>
        <w:left w:val="none" w:sz="0" w:space="0" w:color="auto"/>
        <w:bottom w:val="none" w:sz="0" w:space="0" w:color="auto"/>
        <w:right w:val="none" w:sz="0" w:space="0" w:color="auto"/>
      </w:divBdr>
    </w:div>
    <w:div w:id="404568332">
      <w:bodyDiv w:val="1"/>
      <w:marLeft w:val="0"/>
      <w:marRight w:val="0"/>
      <w:marTop w:val="0"/>
      <w:marBottom w:val="0"/>
      <w:divBdr>
        <w:top w:val="none" w:sz="0" w:space="0" w:color="auto"/>
        <w:left w:val="none" w:sz="0" w:space="0" w:color="auto"/>
        <w:bottom w:val="none" w:sz="0" w:space="0" w:color="auto"/>
        <w:right w:val="none" w:sz="0" w:space="0" w:color="auto"/>
      </w:divBdr>
    </w:div>
    <w:div w:id="414788551">
      <w:bodyDiv w:val="1"/>
      <w:marLeft w:val="0"/>
      <w:marRight w:val="0"/>
      <w:marTop w:val="0"/>
      <w:marBottom w:val="0"/>
      <w:divBdr>
        <w:top w:val="none" w:sz="0" w:space="0" w:color="auto"/>
        <w:left w:val="none" w:sz="0" w:space="0" w:color="auto"/>
        <w:bottom w:val="none" w:sz="0" w:space="0" w:color="auto"/>
        <w:right w:val="none" w:sz="0" w:space="0" w:color="auto"/>
      </w:divBdr>
    </w:div>
    <w:div w:id="442115318">
      <w:bodyDiv w:val="1"/>
      <w:marLeft w:val="0"/>
      <w:marRight w:val="0"/>
      <w:marTop w:val="0"/>
      <w:marBottom w:val="0"/>
      <w:divBdr>
        <w:top w:val="none" w:sz="0" w:space="0" w:color="auto"/>
        <w:left w:val="none" w:sz="0" w:space="0" w:color="auto"/>
        <w:bottom w:val="none" w:sz="0" w:space="0" w:color="auto"/>
        <w:right w:val="none" w:sz="0" w:space="0" w:color="auto"/>
      </w:divBdr>
    </w:div>
    <w:div w:id="605045294">
      <w:bodyDiv w:val="1"/>
      <w:marLeft w:val="0"/>
      <w:marRight w:val="0"/>
      <w:marTop w:val="0"/>
      <w:marBottom w:val="0"/>
      <w:divBdr>
        <w:top w:val="none" w:sz="0" w:space="0" w:color="auto"/>
        <w:left w:val="none" w:sz="0" w:space="0" w:color="auto"/>
        <w:bottom w:val="none" w:sz="0" w:space="0" w:color="auto"/>
        <w:right w:val="none" w:sz="0" w:space="0" w:color="auto"/>
      </w:divBdr>
    </w:div>
    <w:div w:id="627206545">
      <w:bodyDiv w:val="1"/>
      <w:marLeft w:val="0"/>
      <w:marRight w:val="0"/>
      <w:marTop w:val="0"/>
      <w:marBottom w:val="0"/>
      <w:divBdr>
        <w:top w:val="none" w:sz="0" w:space="0" w:color="auto"/>
        <w:left w:val="none" w:sz="0" w:space="0" w:color="auto"/>
        <w:bottom w:val="none" w:sz="0" w:space="0" w:color="auto"/>
        <w:right w:val="none" w:sz="0" w:space="0" w:color="auto"/>
      </w:divBdr>
    </w:div>
    <w:div w:id="716392245">
      <w:bodyDiv w:val="1"/>
      <w:marLeft w:val="0"/>
      <w:marRight w:val="0"/>
      <w:marTop w:val="0"/>
      <w:marBottom w:val="0"/>
      <w:divBdr>
        <w:top w:val="none" w:sz="0" w:space="0" w:color="auto"/>
        <w:left w:val="none" w:sz="0" w:space="0" w:color="auto"/>
        <w:bottom w:val="none" w:sz="0" w:space="0" w:color="auto"/>
        <w:right w:val="none" w:sz="0" w:space="0" w:color="auto"/>
      </w:divBdr>
    </w:div>
    <w:div w:id="753286430">
      <w:bodyDiv w:val="1"/>
      <w:marLeft w:val="0"/>
      <w:marRight w:val="0"/>
      <w:marTop w:val="0"/>
      <w:marBottom w:val="0"/>
      <w:divBdr>
        <w:top w:val="none" w:sz="0" w:space="0" w:color="auto"/>
        <w:left w:val="none" w:sz="0" w:space="0" w:color="auto"/>
        <w:bottom w:val="none" w:sz="0" w:space="0" w:color="auto"/>
        <w:right w:val="none" w:sz="0" w:space="0" w:color="auto"/>
      </w:divBdr>
    </w:div>
    <w:div w:id="789516847">
      <w:bodyDiv w:val="1"/>
      <w:marLeft w:val="0"/>
      <w:marRight w:val="0"/>
      <w:marTop w:val="0"/>
      <w:marBottom w:val="0"/>
      <w:divBdr>
        <w:top w:val="none" w:sz="0" w:space="0" w:color="auto"/>
        <w:left w:val="none" w:sz="0" w:space="0" w:color="auto"/>
        <w:bottom w:val="none" w:sz="0" w:space="0" w:color="auto"/>
        <w:right w:val="none" w:sz="0" w:space="0" w:color="auto"/>
      </w:divBdr>
    </w:div>
    <w:div w:id="869605288">
      <w:bodyDiv w:val="1"/>
      <w:marLeft w:val="0"/>
      <w:marRight w:val="0"/>
      <w:marTop w:val="0"/>
      <w:marBottom w:val="0"/>
      <w:divBdr>
        <w:top w:val="none" w:sz="0" w:space="0" w:color="auto"/>
        <w:left w:val="none" w:sz="0" w:space="0" w:color="auto"/>
        <w:bottom w:val="none" w:sz="0" w:space="0" w:color="auto"/>
        <w:right w:val="none" w:sz="0" w:space="0" w:color="auto"/>
      </w:divBdr>
    </w:div>
    <w:div w:id="970554305">
      <w:bodyDiv w:val="1"/>
      <w:marLeft w:val="0"/>
      <w:marRight w:val="0"/>
      <w:marTop w:val="0"/>
      <w:marBottom w:val="0"/>
      <w:divBdr>
        <w:top w:val="none" w:sz="0" w:space="0" w:color="auto"/>
        <w:left w:val="none" w:sz="0" w:space="0" w:color="auto"/>
        <w:bottom w:val="none" w:sz="0" w:space="0" w:color="auto"/>
        <w:right w:val="none" w:sz="0" w:space="0" w:color="auto"/>
      </w:divBdr>
    </w:div>
    <w:div w:id="1029598899">
      <w:bodyDiv w:val="1"/>
      <w:marLeft w:val="0"/>
      <w:marRight w:val="0"/>
      <w:marTop w:val="0"/>
      <w:marBottom w:val="0"/>
      <w:divBdr>
        <w:top w:val="none" w:sz="0" w:space="0" w:color="auto"/>
        <w:left w:val="none" w:sz="0" w:space="0" w:color="auto"/>
        <w:bottom w:val="none" w:sz="0" w:space="0" w:color="auto"/>
        <w:right w:val="none" w:sz="0" w:space="0" w:color="auto"/>
      </w:divBdr>
    </w:div>
    <w:div w:id="1122990948">
      <w:bodyDiv w:val="1"/>
      <w:marLeft w:val="0"/>
      <w:marRight w:val="0"/>
      <w:marTop w:val="0"/>
      <w:marBottom w:val="0"/>
      <w:divBdr>
        <w:top w:val="none" w:sz="0" w:space="0" w:color="auto"/>
        <w:left w:val="none" w:sz="0" w:space="0" w:color="auto"/>
        <w:bottom w:val="none" w:sz="0" w:space="0" w:color="auto"/>
        <w:right w:val="none" w:sz="0" w:space="0" w:color="auto"/>
      </w:divBdr>
    </w:div>
    <w:div w:id="1131746101">
      <w:bodyDiv w:val="1"/>
      <w:marLeft w:val="0"/>
      <w:marRight w:val="0"/>
      <w:marTop w:val="0"/>
      <w:marBottom w:val="0"/>
      <w:divBdr>
        <w:top w:val="none" w:sz="0" w:space="0" w:color="auto"/>
        <w:left w:val="none" w:sz="0" w:space="0" w:color="auto"/>
        <w:bottom w:val="none" w:sz="0" w:space="0" w:color="auto"/>
        <w:right w:val="none" w:sz="0" w:space="0" w:color="auto"/>
      </w:divBdr>
    </w:div>
    <w:div w:id="1175800478">
      <w:bodyDiv w:val="1"/>
      <w:marLeft w:val="0"/>
      <w:marRight w:val="0"/>
      <w:marTop w:val="0"/>
      <w:marBottom w:val="0"/>
      <w:divBdr>
        <w:top w:val="none" w:sz="0" w:space="0" w:color="auto"/>
        <w:left w:val="none" w:sz="0" w:space="0" w:color="auto"/>
        <w:bottom w:val="none" w:sz="0" w:space="0" w:color="auto"/>
        <w:right w:val="none" w:sz="0" w:space="0" w:color="auto"/>
      </w:divBdr>
    </w:div>
    <w:div w:id="1235776020">
      <w:bodyDiv w:val="1"/>
      <w:marLeft w:val="0"/>
      <w:marRight w:val="0"/>
      <w:marTop w:val="0"/>
      <w:marBottom w:val="0"/>
      <w:divBdr>
        <w:top w:val="none" w:sz="0" w:space="0" w:color="auto"/>
        <w:left w:val="none" w:sz="0" w:space="0" w:color="auto"/>
        <w:bottom w:val="none" w:sz="0" w:space="0" w:color="auto"/>
        <w:right w:val="none" w:sz="0" w:space="0" w:color="auto"/>
      </w:divBdr>
    </w:div>
    <w:div w:id="1245606163">
      <w:bodyDiv w:val="1"/>
      <w:marLeft w:val="0"/>
      <w:marRight w:val="0"/>
      <w:marTop w:val="0"/>
      <w:marBottom w:val="0"/>
      <w:divBdr>
        <w:top w:val="none" w:sz="0" w:space="0" w:color="auto"/>
        <w:left w:val="none" w:sz="0" w:space="0" w:color="auto"/>
        <w:bottom w:val="none" w:sz="0" w:space="0" w:color="auto"/>
        <w:right w:val="none" w:sz="0" w:space="0" w:color="auto"/>
      </w:divBdr>
    </w:div>
    <w:div w:id="1286504141">
      <w:bodyDiv w:val="1"/>
      <w:marLeft w:val="0"/>
      <w:marRight w:val="0"/>
      <w:marTop w:val="0"/>
      <w:marBottom w:val="0"/>
      <w:divBdr>
        <w:top w:val="none" w:sz="0" w:space="0" w:color="auto"/>
        <w:left w:val="none" w:sz="0" w:space="0" w:color="auto"/>
        <w:bottom w:val="none" w:sz="0" w:space="0" w:color="auto"/>
        <w:right w:val="none" w:sz="0" w:space="0" w:color="auto"/>
      </w:divBdr>
    </w:div>
    <w:div w:id="1371153558">
      <w:bodyDiv w:val="1"/>
      <w:marLeft w:val="0"/>
      <w:marRight w:val="0"/>
      <w:marTop w:val="0"/>
      <w:marBottom w:val="0"/>
      <w:divBdr>
        <w:top w:val="none" w:sz="0" w:space="0" w:color="auto"/>
        <w:left w:val="none" w:sz="0" w:space="0" w:color="auto"/>
        <w:bottom w:val="none" w:sz="0" w:space="0" w:color="auto"/>
        <w:right w:val="none" w:sz="0" w:space="0" w:color="auto"/>
      </w:divBdr>
    </w:div>
    <w:div w:id="1376394474">
      <w:bodyDiv w:val="1"/>
      <w:marLeft w:val="0"/>
      <w:marRight w:val="0"/>
      <w:marTop w:val="0"/>
      <w:marBottom w:val="0"/>
      <w:divBdr>
        <w:top w:val="none" w:sz="0" w:space="0" w:color="auto"/>
        <w:left w:val="none" w:sz="0" w:space="0" w:color="auto"/>
        <w:bottom w:val="none" w:sz="0" w:space="0" w:color="auto"/>
        <w:right w:val="none" w:sz="0" w:space="0" w:color="auto"/>
      </w:divBdr>
    </w:div>
    <w:div w:id="1479112645">
      <w:bodyDiv w:val="1"/>
      <w:marLeft w:val="0"/>
      <w:marRight w:val="0"/>
      <w:marTop w:val="0"/>
      <w:marBottom w:val="0"/>
      <w:divBdr>
        <w:top w:val="none" w:sz="0" w:space="0" w:color="auto"/>
        <w:left w:val="none" w:sz="0" w:space="0" w:color="auto"/>
        <w:bottom w:val="none" w:sz="0" w:space="0" w:color="auto"/>
        <w:right w:val="none" w:sz="0" w:space="0" w:color="auto"/>
      </w:divBdr>
    </w:div>
    <w:div w:id="1558013238">
      <w:bodyDiv w:val="1"/>
      <w:marLeft w:val="0"/>
      <w:marRight w:val="0"/>
      <w:marTop w:val="0"/>
      <w:marBottom w:val="0"/>
      <w:divBdr>
        <w:top w:val="none" w:sz="0" w:space="0" w:color="auto"/>
        <w:left w:val="none" w:sz="0" w:space="0" w:color="auto"/>
        <w:bottom w:val="none" w:sz="0" w:space="0" w:color="auto"/>
        <w:right w:val="none" w:sz="0" w:space="0" w:color="auto"/>
      </w:divBdr>
    </w:div>
    <w:div w:id="1567062845">
      <w:bodyDiv w:val="1"/>
      <w:marLeft w:val="0"/>
      <w:marRight w:val="0"/>
      <w:marTop w:val="0"/>
      <w:marBottom w:val="0"/>
      <w:divBdr>
        <w:top w:val="none" w:sz="0" w:space="0" w:color="auto"/>
        <w:left w:val="none" w:sz="0" w:space="0" w:color="auto"/>
        <w:bottom w:val="none" w:sz="0" w:space="0" w:color="auto"/>
        <w:right w:val="none" w:sz="0" w:space="0" w:color="auto"/>
      </w:divBdr>
    </w:div>
    <w:div w:id="1591618587">
      <w:bodyDiv w:val="1"/>
      <w:marLeft w:val="0"/>
      <w:marRight w:val="0"/>
      <w:marTop w:val="0"/>
      <w:marBottom w:val="0"/>
      <w:divBdr>
        <w:top w:val="none" w:sz="0" w:space="0" w:color="auto"/>
        <w:left w:val="none" w:sz="0" w:space="0" w:color="auto"/>
        <w:bottom w:val="none" w:sz="0" w:space="0" w:color="auto"/>
        <w:right w:val="none" w:sz="0" w:space="0" w:color="auto"/>
      </w:divBdr>
    </w:div>
    <w:div w:id="1631204343">
      <w:bodyDiv w:val="1"/>
      <w:marLeft w:val="0"/>
      <w:marRight w:val="0"/>
      <w:marTop w:val="0"/>
      <w:marBottom w:val="0"/>
      <w:divBdr>
        <w:top w:val="none" w:sz="0" w:space="0" w:color="auto"/>
        <w:left w:val="none" w:sz="0" w:space="0" w:color="auto"/>
        <w:bottom w:val="none" w:sz="0" w:space="0" w:color="auto"/>
        <w:right w:val="none" w:sz="0" w:space="0" w:color="auto"/>
      </w:divBdr>
    </w:div>
    <w:div w:id="1659961898">
      <w:bodyDiv w:val="1"/>
      <w:marLeft w:val="0"/>
      <w:marRight w:val="0"/>
      <w:marTop w:val="0"/>
      <w:marBottom w:val="0"/>
      <w:divBdr>
        <w:top w:val="none" w:sz="0" w:space="0" w:color="auto"/>
        <w:left w:val="none" w:sz="0" w:space="0" w:color="auto"/>
        <w:bottom w:val="none" w:sz="0" w:space="0" w:color="auto"/>
        <w:right w:val="none" w:sz="0" w:space="0" w:color="auto"/>
      </w:divBdr>
    </w:div>
    <w:div w:id="1762604820">
      <w:bodyDiv w:val="1"/>
      <w:marLeft w:val="0"/>
      <w:marRight w:val="0"/>
      <w:marTop w:val="0"/>
      <w:marBottom w:val="0"/>
      <w:divBdr>
        <w:top w:val="none" w:sz="0" w:space="0" w:color="auto"/>
        <w:left w:val="none" w:sz="0" w:space="0" w:color="auto"/>
        <w:bottom w:val="none" w:sz="0" w:space="0" w:color="auto"/>
        <w:right w:val="none" w:sz="0" w:space="0" w:color="auto"/>
      </w:divBdr>
    </w:div>
    <w:div w:id="1797137340">
      <w:bodyDiv w:val="1"/>
      <w:marLeft w:val="0"/>
      <w:marRight w:val="0"/>
      <w:marTop w:val="0"/>
      <w:marBottom w:val="0"/>
      <w:divBdr>
        <w:top w:val="none" w:sz="0" w:space="0" w:color="auto"/>
        <w:left w:val="none" w:sz="0" w:space="0" w:color="auto"/>
        <w:bottom w:val="none" w:sz="0" w:space="0" w:color="auto"/>
        <w:right w:val="none" w:sz="0" w:space="0" w:color="auto"/>
      </w:divBdr>
    </w:div>
    <w:div w:id="1802722821">
      <w:bodyDiv w:val="1"/>
      <w:marLeft w:val="0"/>
      <w:marRight w:val="0"/>
      <w:marTop w:val="0"/>
      <w:marBottom w:val="0"/>
      <w:divBdr>
        <w:top w:val="none" w:sz="0" w:space="0" w:color="auto"/>
        <w:left w:val="none" w:sz="0" w:space="0" w:color="auto"/>
        <w:bottom w:val="none" w:sz="0" w:space="0" w:color="auto"/>
        <w:right w:val="none" w:sz="0" w:space="0" w:color="auto"/>
      </w:divBdr>
    </w:div>
    <w:div w:id="1882355109">
      <w:bodyDiv w:val="1"/>
      <w:marLeft w:val="0"/>
      <w:marRight w:val="0"/>
      <w:marTop w:val="0"/>
      <w:marBottom w:val="0"/>
      <w:divBdr>
        <w:top w:val="none" w:sz="0" w:space="0" w:color="auto"/>
        <w:left w:val="none" w:sz="0" w:space="0" w:color="auto"/>
        <w:bottom w:val="none" w:sz="0" w:space="0" w:color="auto"/>
        <w:right w:val="none" w:sz="0" w:space="0" w:color="auto"/>
      </w:divBdr>
    </w:div>
    <w:div w:id="1902015881">
      <w:bodyDiv w:val="1"/>
      <w:marLeft w:val="0"/>
      <w:marRight w:val="0"/>
      <w:marTop w:val="0"/>
      <w:marBottom w:val="0"/>
      <w:divBdr>
        <w:top w:val="none" w:sz="0" w:space="0" w:color="auto"/>
        <w:left w:val="none" w:sz="0" w:space="0" w:color="auto"/>
        <w:bottom w:val="none" w:sz="0" w:space="0" w:color="auto"/>
        <w:right w:val="none" w:sz="0" w:space="0" w:color="auto"/>
      </w:divBdr>
    </w:div>
    <w:div w:id="1909338645">
      <w:bodyDiv w:val="1"/>
      <w:marLeft w:val="0"/>
      <w:marRight w:val="0"/>
      <w:marTop w:val="0"/>
      <w:marBottom w:val="0"/>
      <w:divBdr>
        <w:top w:val="none" w:sz="0" w:space="0" w:color="auto"/>
        <w:left w:val="none" w:sz="0" w:space="0" w:color="auto"/>
        <w:bottom w:val="none" w:sz="0" w:space="0" w:color="auto"/>
        <w:right w:val="none" w:sz="0" w:space="0" w:color="auto"/>
      </w:divBdr>
    </w:div>
    <w:div w:id="1922596822">
      <w:bodyDiv w:val="1"/>
      <w:marLeft w:val="0"/>
      <w:marRight w:val="0"/>
      <w:marTop w:val="0"/>
      <w:marBottom w:val="0"/>
      <w:divBdr>
        <w:top w:val="none" w:sz="0" w:space="0" w:color="auto"/>
        <w:left w:val="none" w:sz="0" w:space="0" w:color="auto"/>
        <w:bottom w:val="none" w:sz="0" w:space="0" w:color="auto"/>
        <w:right w:val="none" w:sz="0" w:space="0" w:color="auto"/>
      </w:divBdr>
    </w:div>
    <w:div w:id="1930308112">
      <w:bodyDiv w:val="1"/>
      <w:marLeft w:val="0"/>
      <w:marRight w:val="0"/>
      <w:marTop w:val="0"/>
      <w:marBottom w:val="0"/>
      <w:divBdr>
        <w:top w:val="none" w:sz="0" w:space="0" w:color="auto"/>
        <w:left w:val="none" w:sz="0" w:space="0" w:color="auto"/>
        <w:bottom w:val="none" w:sz="0" w:space="0" w:color="auto"/>
        <w:right w:val="none" w:sz="0" w:space="0" w:color="auto"/>
      </w:divBdr>
    </w:div>
    <w:div w:id="1937709255">
      <w:bodyDiv w:val="1"/>
      <w:marLeft w:val="0"/>
      <w:marRight w:val="0"/>
      <w:marTop w:val="0"/>
      <w:marBottom w:val="0"/>
      <w:divBdr>
        <w:top w:val="none" w:sz="0" w:space="0" w:color="auto"/>
        <w:left w:val="none" w:sz="0" w:space="0" w:color="auto"/>
        <w:bottom w:val="none" w:sz="0" w:space="0" w:color="auto"/>
        <w:right w:val="none" w:sz="0" w:space="0" w:color="auto"/>
      </w:divBdr>
    </w:div>
    <w:div w:id="1939828496">
      <w:bodyDiv w:val="1"/>
      <w:marLeft w:val="0"/>
      <w:marRight w:val="0"/>
      <w:marTop w:val="0"/>
      <w:marBottom w:val="0"/>
      <w:divBdr>
        <w:top w:val="none" w:sz="0" w:space="0" w:color="auto"/>
        <w:left w:val="none" w:sz="0" w:space="0" w:color="auto"/>
        <w:bottom w:val="none" w:sz="0" w:space="0" w:color="auto"/>
        <w:right w:val="none" w:sz="0" w:space="0" w:color="auto"/>
      </w:divBdr>
    </w:div>
    <w:div w:id="1941909214">
      <w:bodyDiv w:val="1"/>
      <w:marLeft w:val="0"/>
      <w:marRight w:val="0"/>
      <w:marTop w:val="0"/>
      <w:marBottom w:val="0"/>
      <w:divBdr>
        <w:top w:val="none" w:sz="0" w:space="0" w:color="auto"/>
        <w:left w:val="none" w:sz="0" w:space="0" w:color="auto"/>
        <w:bottom w:val="none" w:sz="0" w:space="0" w:color="auto"/>
        <w:right w:val="none" w:sz="0" w:space="0" w:color="auto"/>
      </w:divBdr>
    </w:div>
    <w:div w:id="2104451273">
      <w:bodyDiv w:val="1"/>
      <w:marLeft w:val="0"/>
      <w:marRight w:val="0"/>
      <w:marTop w:val="0"/>
      <w:marBottom w:val="0"/>
      <w:divBdr>
        <w:top w:val="none" w:sz="0" w:space="0" w:color="auto"/>
        <w:left w:val="none" w:sz="0" w:space="0" w:color="auto"/>
        <w:bottom w:val="none" w:sz="0" w:space="0" w:color="auto"/>
        <w:right w:val="none" w:sz="0" w:space="0" w:color="auto"/>
      </w:divBdr>
    </w:div>
    <w:div w:id="211316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90551-C826-4D88-B81B-4D3CA9A26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3524</TotalTime>
  <Pages>4</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Property Tax Report</vt:lpstr>
    </vt:vector>
  </TitlesOfParts>
  <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dc:title>
  <dc:subject/>
  <dc:creator>Admin</dc:creator>
  <cp:keywords/>
  <dc:description/>
  <cp:lastModifiedBy>Admin</cp:lastModifiedBy>
  <cp:revision>30</cp:revision>
  <dcterms:created xsi:type="dcterms:W3CDTF">2017-05-17T15:39:00Z</dcterms:created>
  <dcterms:modified xsi:type="dcterms:W3CDTF">2017-05-27T06:19:00Z</dcterms:modified>
</cp:coreProperties>
</file>